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24B52" w14:textId="77777777" w:rsidR="00F27CC9" w:rsidRDefault="00353DB6">
      <w:pPr>
        <w:rPr>
          <w:rFonts w:ascii="Arial" w:eastAsia="Arial" w:hAnsi="Arial" w:cs="Arial"/>
          <w:i/>
          <w:sz w:val="24"/>
          <w:szCs w:val="24"/>
        </w:rPr>
      </w:pPr>
      <w:r>
        <w:rPr>
          <w:rFonts w:ascii="Arial" w:eastAsia="Arial" w:hAnsi="Arial" w:cs="Arial"/>
          <w:b/>
          <w:sz w:val="36"/>
          <w:szCs w:val="36"/>
        </w:rPr>
        <w:t>Schedule 3 (Framework Prices &amp; Charges)</w:t>
      </w:r>
    </w:p>
    <w:p w14:paraId="0AA060E9"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bookmarkStart w:id="0" w:name="_gjdgxs" w:colFirst="0" w:colLast="0"/>
      <w:bookmarkEnd w:id="0"/>
      <w:r>
        <w:rPr>
          <w:rFonts w:ascii="Arial" w:eastAsia="Arial" w:hAnsi="Arial" w:cs="Arial"/>
          <w:b/>
          <w:sz w:val="24"/>
          <w:szCs w:val="24"/>
        </w:rPr>
        <w:t>How Framework Prices are used to calculate Call-Off Charges</w:t>
      </w:r>
    </w:p>
    <w:p w14:paraId="45B26F22"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The Framework Prices:</w:t>
      </w:r>
    </w:p>
    <w:p w14:paraId="695E56CC" w14:textId="77777777" w:rsidR="00F27CC9" w:rsidRDefault="00353DB6">
      <w:pPr>
        <w:numPr>
          <w:ilvl w:val="2"/>
          <w:numId w:val="3"/>
        </w:numPr>
        <w:tabs>
          <w:tab w:val="left" w:pos="142"/>
        </w:tabs>
        <w:spacing w:before="120" w:after="240" w:line="240" w:lineRule="auto"/>
        <w:ind w:left="2268"/>
        <w:jc w:val="both"/>
        <w:rPr>
          <w:rFonts w:ascii="Arial" w:eastAsia="Arial" w:hAnsi="Arial" w:cs="Arial"/>
          <w:sz w:val="24"/>
          <w:szCs w:val="24"/>
        </w:rPr>
      </w:pPr>
      <w:r>
        <w:rPr>
          <w:rFonts w:ascii="Arial" w:eastAsia="Arial" w:hAnsi="Arial" w:cs="Arial"/>
          <w:sz w:val="24"/>
          <w:szCs w:val="24"/>
        </w:rPr>
        <w:t>will be used as the basis for the Charges under each Call-Off Contract; and</w:t>
      </w:r>
    </w:p>
    <w:p w14:paraId="6334BC14" w14:textId="77777777" w:rsidR="00F27CC9" w:rsidRDefault="00353DB6">
      <w:pPr>
        <w:numPr>
          <w:ilvl w:val="2"/>
          <w:numId w:val="3"/>
        </w:numPr>
        <w:tabs>
          <w:tab w:val="left" w:pos="142"/>
        </w:tabs>
        <w:spacing w:before="120" w:after="240" w:line="240" w:lineRule="auto"/>
        <w:ind w:left="2268"/>
        <w:jc w:val="both"/>
        <w:rPr>
          <w:rFonts w:ascii="Arial" w:eastAsia="Arial" w:hAnsi="Arial" w:cs="Arial"/>
          <w:sz w:val="24"/>
          <w:szCs w:val="24"/>
        </w:rPr>
      </w:pPr>
      <w:r>
        <w:rPr>
          <w:rFonts w:ascii="Arial" w:eastAsia="Arial" w:hAnsi="Arial" w:cs="Arial"/>
          <w:sz w:val="24"/>
          <w:szCs w:val="24"/>
        </w:rPr>
        <w:t>cannot be varied except as in accordance with this Schedule;</w:t>
      </w:r>
    </w:p>
    <w:p w14:paraId="792041A6"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Charges applicable to each Buyer shall be calculated in accordance with the terms of this Schedule.  </w:t>
      </w:r>
    </w:p>
    <w:p w14:paraId="65837D35"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Any variation to the Framework Prices must be agreed between the Supplier and CCS and implemented using the Variation Procedure.</w:t>
      </w:r>
    </w:p>
    <w:p w14:paraId="0067367F"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The pricing mechanisms</w:t>
      </w:r>
    </w:p>
    <w:p w14:paraId="12A24A41"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 Framework Prices and terms set out in Annex 1 shall be used for calculation of the Charges for Call-Off Contracts as set out in that Annex.</w:t>
      </w:r>
    </w:p>
    <w:p w14:paraId="77076838"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bookmarkStart w:id="3" w:name="_3znysh7" w:colFirst="0" w:colLast="0"/>
      <w:bookmarkEnd w:id="3"/>
      <w:r>
        <w:rPr>
          <w:rFonts w:ascii="Arial" w:eastAsia="Arial" w:hAnsi="Arial" w:cs="Arial"/>
          <w:b/>
          <w:sz w:val="24"/>
          <w:szCs w:val="24"/>
        </w:rPr>
        <w:t>Are costs and expenses included in the Framework Prices</w:t>
      </w:r>
    </w:p>
    <w:p w14:paraId="723614EC"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as otherwise stated in the relevant Order Form the Framework Prices, and thus the Charges, shall include all costs and expenses relating to the provision of Deliverables. No further amounts shall be payable in respect of matters such as:</w:t>
      </w:r>
    </w:p>
    <w:p w14:paraId="1FCD9966" w14:textId="77777777" w:rsidR="00F27CC9" w:rsidRDefault="00353DB6">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2D8294AE" w14:textId="77777777" w:rsidR="00F27CC9" w:rsidRDefault="00353DB6">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Start Date of the relevant Contract.</w:t>
      </w:r>
    </w:p>
    <w:p w14:paraId="058E9AA6"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When the Supplier can ask to change the Framework Prices and Charges</w:t>
      </w:r>
    </w:p>
    <w:p w14:paraId="4ACF9810" w14:textId="6DB48E1E" w:rsidR="00F27CC9" w:rsidRDefault="00353DB6" w:rsidP="007E149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Subject to Paragraphs 5</w:t>
      </w:r>
      <w:r w:rsidR="007E149B">
        <w:rPr>
          <w:rFonts w:ascii="Arial" w:eastAsia="Arial" w:hAnsi="Arial" w:cs="Arial"/>
          <w:color w:val="000000"/>
          <w:sz w:val="24"/>
          <w:szCs w:val="24"/>
        </w:rPr>
        <w:t xml:space="preserve"> </w:t>
      </w:r>
      <w:r>
        <w:rPr>
          <w:rFonts w:ascii="Arial" w:eastAsia="Arial" w:hAnsi="Arial" w:cs="Arial"/>
          <w:color w:val="000000"/>
          <w:sz w:val="24"/>
          <w:szCs w:val="24"/>
        </w:rPr>
        <w:t xml:space="preserve">and </w:t>
      </w:r>
      <w:r w:rsidR="007E149B">
        <w:rPr>
          <w:rFonts w:ascii="Arial" w:eastAsia="Arial" w:hAnsi="Arial" w:cs="Arial"/>
          <w:color w:val="000000"/>
          <w:sz w:val="24"/>
          <w:szCs w:val="24"/>
        </w:rPr>
        <w:t xml:space="preserve">7 </w:t>
      </w:r>
      <w:r>
        <w:rPr>
          <w:rFonts w:ascii="Arial" w:eastAsia="Arial" w:hAnsi="Arial" w:cs="Arial"/>
          <w:color w:val="000000"/>
          <w:sz w:val="24"/>
          <w:szCs w:val="24"/>
        </w:rPr>
        <w:t>the Framework Prices, and thus the Charges, will be fixed for the Framework Contract Period.  After this Charges can only be adjusted in accordance with this Paragraph 4.</w:t>
      </w:r>
    </w:p>
    <w:p w14:paraId="19097BC6"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tyjcwt" w:colFirst="0" w:colLast="0"/>
      <w:bookmarkEnd w:id="4"/>
      <w:r>
        <w:rPr>
          <w:rFonts w:ascii="Arial" w:eastAsia="Arial" w:hAnsi="Arial" w:cs="Arial"/>
          <w:color w:val="000000"/>
          <w:sz w:val="24"/>
          <w:szCs w:val="24"/>
        </w:rPr>
        <w:t>The Supplier shall give CCS at least three (3) Months' notice in writing prior to the expiry of the Framework Contract Period where it wants to request a change in Charges applicable to extant Call-Off Contracts.</w:t>
      </w:r>
    </w:p>
    <w:p w14:paraId="1BDE2C3B"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 change shall include:</w:t>
      </w:r>
    </w:p>
    <w:p w14:paraId="355389FB"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sz w:val="24"/>
          <w:szCs w:val="24"/>
        </w:rPr>
        <w:t xml:space="preserve">written evidence of the justification for the requested increase </w:t>
      </w:r>
      <w:bookmarkStart w:id="5" w:name="_GoBack"/>
      <w:bookmarkEnd w:id="5"/>
      <w:r>
        <w:rPr>
          <w:rFonts w:ascii="Arial" w:eastAsia="Arial" w:hAnsi="Arial" w:cs="Arial"/>
          <w:color w:val="000000"/>
          <w:sz w:val="24"/>
          <w:szCs w:val="24"/>
        </w:rPr>
        <w:t>including where relevant:</w:t>
      </w:r>
    </w:p>
    <w:p w14:paraId="60E14503"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b/>
          <w:i/>
          <w:color w:val="000000"/>
          <w:sz w:val="24"/>
          <w:szCs w:val="24"/>
        </w:rPr>
      </w:pPr>
      <w:r>
        <w:rPr>
          <w:rFonts w:ascii="Arial" w:eastAsia="Arial" w:hAnsi="Arial" w:cs="Arial"/>
          <w:color w:val="000000"/>
          <w:sz w:val="24"/>
          <w:szCs w:val="24"/>
        </w:rPr>
        <w:lastRenderedPageBreak/>
        <w:t>A breakdown of the profit and cost components that comprise the Charges.</w:t>
      </w:r>
    </w:p>
    <w:p w14:paraId="3D217455"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Charges.</w:t>
      </w:r>
    </w:p>
    <w:p w14:paraId="4778BE77"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Charges.</w:t>
      </w:r>
    </w:p>
    <w:p w14:paraId="7E2FB00C"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681ADE1"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Proposed Charges for each relevant Buyer.</w:t>
      </w:r>
    </w:p>
    <w:p w14:paraId="37F84B68" w14:textId="77777777" w:rsidR="00F27CC9" w:rsidRDefault="00353DB6">
      <w:pPr>
        <w:numPr>
          <w:ilvl w:val="3"/>
          <w:numId w:val="1"/>
        </w:numPr>
        <w:pBdr>
          <w:top w:val="nil"/>
          <w:left w:val="nil"/>
          <w:bottom w:val="nil"/>
          <w:right w:val="nil"/>
          <w:between w:val="nil"/>
        </w:pBdr>
        <w:tabs>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proposed revised Charges is no greater than that applying to the Charges over the previous 12 months.</w:t>
      </w:r>
    </w:p>
    <w:p w14:paraId="4B71B73D"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CCS shall consider any such request for a price increase.  CCS may grant Approval to an increase at its sole discretion except that such Approval shall not be unreasonably refused. </w:t>
      </w:r>
    </w:p>
    <w:p w14:paraId="648F6C8F" w14:textId="058070BD"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effective from the first (1st) Working Day of the relevant Call-</w:t>
      </w:r>
      <w:r w:rsidR="00803385">
        <w:rPr>
          <w:rFonts w:ascii="Arial" w:eastAsia="Arial" w:hAnsi="Arial" w:cs="Arial"/>
          <w:color w:val="000000"/>
          <w:sz w:val="24"/>
          <w:szCs w:val="24"/>
        </w:rPr>
        <w:t xml:space="preserve">Off </w:t>
      </w:r>
      <w:r>
        <w:rPr>
          <w:rFonts w:ascii="Arial" w:eastAsia="Arial" w:hAnsi="Arial" w:cs="Arial"/>
          <w:color w:val="000000"/>
          <w:sz w:val="24"/>
          <w:szCs w:val="24"/>
        </w:rPr>
        <w:t>Contract Periods following expiry of the Framework Contract Period.</w:t>
      </w:r>
    </w:p>
    <w:p w14:paraId="6D449C23" w14:textId="77777777"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 xml:space="preserve">Change to the Framework Prices and Charges as a result of the Security Architectural Review </w:t>
      </w:r>
    </w:p>
    <w:p w14:paraId="7C26E405"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In the event that the Security Architectural Review identifies any vulnerabilities, the Supplier may request a change to the Framework Prices and Charges in order to remedy the vulnerability, to be agreed by CCS.</w:t>
      </w:r>
    </w:p>
    <w:p w14:paraId="7B069703"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color w:val="000000"/>
        </w:rPr>
      </w:pPr>
      <w:r>
        <w:rPr>
          <w:rFonts w:ascii="Arial" w:eastAsia="Arial" w:hAnsi="Arial" w:cs="Arial"/>
          <w:color w:val="000000"/>
          <w:sz w:val="24"/>
          <w:szCs w:val="24"/>
        </w:rPr>
        <w:t>The sum of all changes to the Framework Prices and Charges in respect of paragraph 5.1 shall not exceed five percent of the Framework Prices set out in Annex 1.</w:t>
      </w:r>
    </w:p>
    <w:p w14:paraId="46DC5064"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color w:val="000000"/>
        </w:rPr>
      </w:pPr>
      <w:r>
        <w:rPr>
          <w:rFonts w:ascii="Arial" w:eastAsia="Arial" w:hAnsi="Arial" w:cs="Arial"/>
          <w:color w:val="222222"/>
          <w:sz w:val="24"/>
          <w:szCs w:val="24"/>
        </w:rPr>
        <w:t>Any such request to vary the Framework Prices must be supported by information providing :</w:t>
      </w:r>
    </w:p>
    <w:p w14:paraId="1AD3AEB2" w14:textId="77777777" w:rsidR="003755D5" w:rsidRPr="00197AF0" w:rsidRDefault="00353DB6"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Reasons for the movement in the different identified cost components of the Framework Prices; and </w:t>
      </w:r>
    </w:p>
    <w:p w14:paraId="0F46D993" w14:textId="45E1B23D" w:rsidR="00F27CC9" w:rsidRPr="00197AF0" w:rsidRDefault="00353DB6"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Evidence that the Supplier has attempted to mitigate against the increase in the relevant cost components</w:t>
      </w:r>
    </w:p>
    <w:p w14:paraId="553D16FA" w14:textId="0668D21B" w:rsidR="00803385" w:rsidRDefault="00803385" w:rsidP="00803385">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 xml:space="preserve">Change to the Framework Prices and Charges as a result of a change to the </w:t>
      </w:r>
      <w:r w:rsidRPr="00F711D6">
        <w:rPr>
          <w:rFonts w:ascii="Arial" w:eastAsia="Arial" w:hAnsi="Arial" w:cs="Arial"/>
          <w:b/>
          <w:sz w:val="24"/>
          <w:szCs w:val="24"/>
        </w:rPr>
        <w:t>performance and</w:t>
      </w:r>
      <w:r w:rsidR="00C31302">
        <w:rPr>
          <w:rFonts w:ascii="Arial" w:eastAsia="Arial" w:hAnsi="Arial" w:cs="Arial"/>
          <w:b/>
          <w:sz w:val="24"/>
          <w:szCs w:val="24"/>
        </w:rPr>
        <w:t>/or</w:t>
      </w:r>
      <w:r w:rsidRPr="00F711D6">
        <w:rPr>
          <w:rFonts w:ascii="Arial" w:eastAsia="Arial" w:hAnsi="Arial" w:cs="Arial"/>
          <w:b/>
          <w:sz w:val="24"/>
          <w:szCs w:val="24"/>
        </w:rPr>
        <w:t xml:space="preserve"> volume specifications</w:t>
      </w:r>
      <w:r>
        <w:rPr>
          <w:rFonts w:ascii="Arial" w:eastAsia="Arial" w:hAnsi="Arial" w:cs="Arial"/>
          <w:b/>
          <w:sz w:val="24"/>
          <w:szCs w:val="24"/>
        </w:rPr>
        <w:t xml:space="preserve"> </w:t>
      </w:r>
    </w:p>
    <w:p w14:paraId="5274C60C" w14:textId="24C34338" w:rsidR="002E055F" w:rsidRDefault="002E055F" w:rsidP="002E05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Prior to the start of each </w:t>
      </w:r>
      <w:r w:rsidRPr="002E055F">
        <w:rPr>
          <w:rFonts w:ascii="Arial" w:eastAsia="Arial" w:hAnsi="Arial" w:cs="Arial"/>
          <w:color w:val="000000"/>
          <w:sz w:val="24"/>
          <w:szCs w:val="24"/>
        </w:rPr>
        <w:t>delivery year, Y1, Y2, Y3 and Y4</w:t>
      </w:r>
      <w:r w:rsidR="0098140B">
        <w:rPr>
          <w:rFonts w:ascii="Arial" w:eastAsia="Arial" w:hAnsi="Arial" w:cs="Arial"/>
          <w:color w:val="000000"/>
          <w:sz w:val="24"/>
          <w:szCs w:val="24"/>
        </w:rPr>
        <w:t xml:space="preserve"> and six months after the start of each delivery year, Y1, Y2, Y3 and Y4</w:t>
      </w:r>
      <w:r>
        <w:rPr>
          <w:rFonts w:ascii="Arial" w:eastAsia="Arial" w:hAnsi="Arial" w:cs="Arial"/>
          <w:color w:val="000000"/>
          <w:sz w:val="24"/>
          <w:szCs w:val="24"/>
        </w:rPr>
        <w:t xml:space="preserve"> </w:t>
      </w:r>
      <w:r w:rsidR="00EA0A4C">
        <w:rPr>
          <w:rFonts w:ascii="Arial" w:eastAsia="Arial" w:hAnsi="Arial" w:cs="Arial"/>
          <w:color w:val="000000"/>
          <w:sz w:val="24"/>
          <w:szCs w:val="24"/>
        </w:rPr>
        <w:t>CCS and the Supplier</w:t>
      </w:r>
      <w:r>
        <w:rPr>
          <w:rFonts w:ascii="Arial" w:eastAsia="Arial" w:hAnsi="Arial" w:cs="Arial"/>
          <w:color w:val="000000"/>
          <w:sz w:val="24"/>
          <w:szCs w:val="24"/>
        </w:rPr>
        <w:t xml:space="preserve"> will review the </w:t>
      </w:r>
      <w:r w:rsidRPr="002E055F">
        <w:rPr>
          <w:rFonts w:ascii="Arial" w:eastAsia="Arial" w:hAnsi="Arial" w:cs="Arial"/>
          <w:color w:val="000000"/>
          <w:sz w:val="24"/>
          <w:szCs w:val="24"/>
        </w:rPr>
        <w:t>performance and volume specifications as detailed in Framework Schedule 1 (Specification)</w:t>
      </w:r>
      <w:r>
        <w:rPr>
          <w:rFonts w:ascii="Arial" w:eastAsia="Arial" w:hAnsi="Arial" w:cs="Arial"/>
          <w:color w:val="000000"/>
          <w:sz w:val="24"/>
          <w:szCs w:val="24"/>
        </w:rPr>
        <w:t>.</w:t>
      </w:r>
    </w:p>
    <w:p w14:paraId="23A7601F" w14:textId="2551B392" w:rsidR="00803385" w:rsidRPr="00684DD5" w:rsidRDefault="00803385" w:rsidP="00560C6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684DD5">
        <w:rPr>
          <w:rFonts w:ascii="Arial" w:eastAsia="Arial" w:hAnsi="Arial" w:cs="Arial"/>
          <w:color w:val="000000"/>
          <w:sz w:val="24"/>
          <w:szCs w:val="24"/>
        </w:rPr>
        <w:lastRenderedPageBreak/>
        <w:t>In the event that there is a change to the performance and</w:t>
      </w:r>
      <w:r w:rsidR="00C31302">
        <w:rPr>
          <w:rFonts w:ascii="Arial" w:eastAsia="Arial" w:hAnsi="Arial" w:cs="Arial"/>
          <w:color w:val="000000"/>
          <w:sz w:val="24"/>
          <w:szCs w:val="24"/>
        </w:rPr>
        <w:t>/or</w:t>
      </w:r>
      <w:r w:rsidRPr="00684DD5">
        <w:rPr>
          <w:rFonts w:ascii="Arial" w:eastAsia="Arial" w:hAnsi="Arial" w:cs="Arial"/>
          <w:color w:val="000000"/>
          <w:sz w:val="24"/>
          <w:szCs w:val="24"/>
        </w:rPr>
        <w:t xml:space="preserve"> volume specifications </w:t>
      </w:r>
      <w:r w:rsidR="008B75F8">
        <w:rPr>
          <w:rFonts w:ascii="Arial" w:eastAsia="Arial" w:hAnsi="Arial" w:cs="Arial"/>
          <w:color w:val="000000"/>
          <w:sz w:val="24"/>
          <w:szCs w:val="24"/>
        </w:rPr>
        <w:t>from those</w:t>
      </w:r>
      <w:r w:rsidRPr="00684DD5">
        <w:rPr>
          <w:rFonts w:ascii="Arial" w:eastAsia="Arial" w:hAnsi="Arial" w:cs="Arial"/>
          <w:color w:val="000000"/>
          <w:sz w:val="24"/>
          <w:szCs w:val="24"/>
        </w:rPr>
        <w:t xml:space="preserve"> detailed in Framework Schedule 1 (Specification), </w:t>
      </w:r>
      <w:r w:rsidR="00925F42">
        <w:rPr>
          <w:rFonts w:ascii="Arial" w:eastAsia="Arial" w:hAnsi="Arial" w:cs="Arial"/>
          <w:color w:val="000000"/>
          <w:sz w:val="24"/>
          <w:szCs w:val="24"/>
        </w:rPr>
        <w:t xml:space="preserve">CCS </w:t>
      </w:r>
      <w:r w:rsidR="00925F42" w:rsidRPr="00684DD5">
        <w:rPr>
          <w:rFonts w:ascii="Arial" w:eastAsia="Arial" w:hAnsi="Arial" w:cs="Arial"/>
          <w:color w:val="000000"/>
          <w:sz w:val="24"/>
          <w:szCs w:val="24"/>
        </w:rPr>
        <w:t>may</w:t>
      </w:r>
      <w:r w:rsidRPr="00684DD5">
        <w:rPr>
          <w:rFonts w:ascii="Arial" w:eastAsia="Arial" w:hAnsi="Arial" w:cs="Arial"/>
          <w:color w:val="000000"/>
          <w:sz w:val="24"/>
          <w:szCs w:val="24"/>
        </w:rPr>
        <w:t xml:space="preserve"> </w:t>
      </w:r>
      <w:r w:rsidR="008B75F8">
        <w:rPr>
          <w:rFonts w:ascii="Arial" w:eastAsia="Arial" w:hAnsi="Arial" w:cs="Arial"/>
          <w:color w:val="000000"/>
          <w:sz w:val="24"/>
          <w:szCs w:val="24"/>
        </w:rPr>
        <w:t xml:space="preserve">in writing </w:t>
      </w:r>
      <w:r w:rsidRPr="00684DD5">
        <w:rPr>
          <w:rFonts w:ascii="Arial" w:eastAsia="Arial" w:hAnsi="Arial" w:cs="Arial"/>
          <w:color w:val="000000"/>
          <w:sz w:val="24"/>
          <w:szCs w:val="24"/>
        </w:rPr>
        <w:t xml:space="preserve">request </w:t>
      </w:r>
      <w:r w:rsidR="002A0DC2">
        <w:rPr>
          <w:rFonts w:ascii="Arial" w:eastAsia="Arial" w:hAnsi="Arial" w:cs="Arial"/>
          <w:color w:val="000000"/>
          <w:sz w:val="24"/>
          <w:szCs w:val="24"/>
        </w:rPr>
        <w:t>a</w:t>
      </w:r>
      <w:r w:rsidRPr="00684DD5">
        <w:rPr>
          <w:rFonts w:ascii="Arial" w:eastAsia="Arial" w:hAnsi="Arial" w:cs="Arial"/>
          <w:color w:val="000000"/>
          <w:sz w:val="24"/>
          <w:szCs w:val="24"/>
        </w:rPr>
        <w:t xml:space="preserve"> change </w:t>
      </w:r>
      <w:r w:rsidR="002A0DC2">
        <w:rPr>
          <w:rFonts w:ascii="Arial" w:eastAsia="Arial" w:hAnsi="Arial" w:cs="Arial"/>
          <w:color w:val="000000"/>
          <w:sz w:val="24"/>
          <w:szCs w:val="24"/>
        </w:rPr>
        <w:t xml:space="preserve">to </w:t>
      </w:r>
      <w:r w:rsidRPr="00684DD5">
        <w:rPr>
          <w:rFonts w:ascii="Arial" w:eastAsia="Arial" w:hAnsi="Arial" w:cs="Arial"/>
          <w:color w:val="000000"/>
          <w:sz w:val="24"/>
          <w:szCs w:val="24"/>
        </w:rPr>
        <w:t>the Framework Prices and Charges, to be agreed b</w:t>
      </w:r>
      <w:r w:rsidR="00C31302">
        <w:rPr>
          <w:rFonts w:ascii="Arial" w:eastAsia="Arial" w:hAnsi="Arial" w:cs="Arial"/>
          <w:color w:val="000000"/>
          <w:sz w:val="24"/>
          <w:szCs w:val="24"/>
        </w:rPr>
        <w:t>etween the Supplier and CCS and implemented using the Variation Procedure</w:t>
      </w:r>
      <w:r w:rsidRPr="00684DD5">
        <w:rPr>
          <w:rFonts w:ascii="Arial" w:eastAsia="Arial" w:hAnsi="Arial" w:cs="Arial"/>
          <w:color w:val="000000"/>
          <w:sz w:val="24"/>
          <w:szCs w:val="24"/>
        </w:rPr>
        <w:t>.</w:t>
      </w:r>
    </w:p>
    <w:p w14:paraId="671F3CEE" w14:textId="303D4839" w:rsidR="00803385" w:rsidRPr="00684DD5" w:rsidRDefault="00803385" w:rsidP="00803385">
      <w:pPr>
        <w:numPr>
          <w:ilvl w:val="1"/>
          <w:numId w:val="1"/>
        </w:numPr>
        <w:pBdr>
          <w:top w:val="nil"/>
          <w:left w:val="nil"/>
          <w:bottom w:val="nil"/>
          <w:right w:val="nil"/>
          <w:between w:val="nil"/>
        </w:pBdr>
        <w:tabs>
          <w:tab w:val="left" w:pos="709"/>
        </w:tabs>
        <w:spacing w:before="120" w:after="120" w:line="240" w:lineRule="auto"/>
        <w:ind w:left="1134" w:hanging="504"/>
        <w:rPr>
          <w:color w:val="000000"/>
        </w:rPr>
      </w:pPr>
      <w:r w:rsidRPr="00684DD5">
        <w:rPr>
          <w:rFonts w:ascii="Arial" w:eastAsia="Arial" w:hAnsi="Arial" w:cs="Arial"/>
          <w:color w:val="222222"/>
          <w:sz w:val="24"/>
          <w:szCs w:val="24"/>
        </w:rPr>
        <w:t>Any such request to vary the Framework Prices must be supported by information providing :</w:t>
      </w:r>
    </w:p>
    <w:p w14:paraId="7FA5CC24" w14:textId="572082DC" w:rsidR="00803385" w:rsidRPr="00197AF0" w:rsidRDefault="007E149B"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Evidence</w:t>
      </w:r>
      <w:r w:rsidR="00803385" w:rsidRPr="00197AF0">
        <w:rPr>
          <w:rFonts w:ascii="Arial" w:eastAsia="Arial" w:hAnsi="Arial" w:cs="Arial"/>
          <w:color w:val="000000"/>
          <w:sz w:val="24"/>
          <w:szCs w:val="24"/>
        </w:rPr>
        <w:t xml:space="preserve"> for the change to the performance and</w:t>
      </w:r>
      <w:r w:rsidR="00EA0A4C">
        <w:rPr>
          <w:rFonts w:ascii="Arial" w:eastAsia="Arial" w:hAnsi="Arial" w:cs="Arial"/>
          <w:color w:val="000000"/>
          <w:sz w:val="24"/>
          <w:szCs w:val="24"/>
        </w:rPr>
        <w:t>/or</w:t>
      </w:r>
      <w:r w:rsidR="00803385" w:rsidRPr="00197AF0">
        <w:rPr>
          <w:rFonts w:ascii="Arial" w:eastAsia="Arial" w:hAnsi="Arial" w:cs="Arial"/>
          <w:color w:val="000000"/>
          <w:sz w:val="24"/>
          <w:szCs w:val="24"/>
        </w:rPr>
        <w:t xml:space="preserve"> volume specifications; and </w:t>
      </w:r>
    </w:p>
    <w:p w14:paraId="16958AA6" w14:textId="101A666B" w:rsidR="00803385" w:rsidRPr="00197AF0" w:rsidRDefault="002E055F" w:rsidP="00197AF0">
      <w:pPr>
        <w:numPr>
          <w:ilvl w:val="2"/>
          <w:numId w:val="1"/>
        </w:num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sidRPr="00197AF0">
        <w:rPr>
          <w:rFonts w:ascii="Arial" w:eastAsia="Arial" w:hAnsi="Arial" w:cs="Arial"/>
          <w:color w:val="000000"/>
          <w:sz w:val="24"/>
          <w:szCs w:val="24"/>
        </w:rPr>
        <w:t>Reasons for the movement in the different identified cost components of the Framework Prices</w:t>
      </w:r>
      <w:r w:rsidR="007E149B" w:rsidRPr="00197AF0">
        <w:rPr>
          <w:rFonts w:ascii="Arial" w:eastAsia="Arial" w:hAnsi="Arial" w:cs="Arial"/>
          <w:color w:val="000000"/>
          <w:sz w:val="24"/>
          <w:szCs w:val="24"/>
        </w:rPr>
        <w:t>.</w:t>
      </w:r>
    </w:p>
    <w:p w14:paraId="2C158AA2" w14:textId="77777777" w:rsidR="00F27CC9" w:rsidRDefault="00F27CC9">
      <w:pPr>
        <w:pBdr>
          <w:top w:val="nil"/>
          <w:left w:val="nil"/>
          <w:bottom w:val="nil"/>
          <w:right w:val="nil"/>
          <w:between w:val="nil"/>
        </w:pBdr>
        <w:tabs>
          <w:tab w:val="left" w:pos="709"/>
        </w:tabs>
        <w:spacing w:before="120" w:after="120" w:line="240" w:lineRule="auto"/>
        <w:ind w:left="1134"/>
        <w:rPr>
          <w:color w:val="000000"/>
        </w:rPr>
      </w:pPr>
    </w:p>
    <w:p w14:paraId="51744576" w14:textId="37DF983F" w:rsidR="00F27CC9" w:rsidRDefault="00353DB6">
      <w:pPr>
        <w:keepNext/>
        <w:numPr>
          <w:ilvl w:val="0"/>
          <w:numId w:val="1"/>
        </w:numPr>
        <w:tabs>
          <w:tab w:val="left" w:pos="720"/>
        </w:tabs>
        <w:spacing w:before="240" w:after="240" w:line="240" w:lineRule="auto"/>
        <w:ind w:left="1080" w:hanging="1080"/>
        <w:jc w:val="both"/>
        <w:rPr>
          <w:rFonts w:ascii="Arial" w:eastAsia="Arial" w:hAnsi="Arial" w:cs="Arial"/>
          <w:b/>
          <w:sz w:val="24"/>
          <w:szCs w:val="24"/>
        </w:rPr>
      </w:pPr>
      <w:r>
        <w:rPr>
          <w:rFonts w:ascii="Arial" w:eastAsia="Arial" w:hAnsi="Arial" w:cs="Arial"/>
          <w:b/>
          <w:sz w:val="24"/>
          <w:szCs w:val="24"/>
        </w:rPr>
        <w:t xml:space="preserve">Other events that allow the Supplier to change the </w:t>
      </w:r>
      <w:r w:rsidR="0098140B">
        <w:rPr>
          <w:rFonts w:ascii="Arial" w:eastAsia="Arial" w:hAnsi="Arial" w:cs="Arial"/>
          <w:b/>
          <w:sz w:val="24"/>
          <w:szCs w:val="24"/>
        </w:rPr>
        <w:t xml:space="preserve">Framework Prices and </w:t>
      </w:r>
      <w:r>
        <w:rPr>
          <w:rFonts w:ascii="Arial" w:eastAsia="Arial" w:hAnsi="Arial" w:cs="Arial"/>
          <w:b/>
          <w:sz w:val="24"/>
          <w:szCs w:val="24"/>
        </w:rPr>
        <w:t>Charges</w:t>
      </w:r>
    </w:p>
    <w:p w14:paraId="7499AD2F" w14:textId="77777777" w:rsidR="00F27CC9" w:rsidRDefault="00353DB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4695E4CD"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7F7768B5"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request from the Supplier, which it can make at any time, to decrease the Framework Prices.</w:t>
      </w:r>
    </w:p>
    <w:p w14:paraId="22F8D899" w14:textId="77777777" w:rsidR="00F27CC9" w:rsidRDefault="00353DB6">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requirement for the continued delivery of services to Buyers beyond the Framework Expiry Date to be agreed by both parties.</w:t>
      </w:r>
    </w:p>
    <w:p w14:paraId="49672404" w14:textId="7B918200" w:rsidR="00733A23" w:rsidRDefault="00733A2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0A5403">
        <w:rPr>
          <w:rFonts w:ascii="Arial" w:hAnsi="Arial"/>
          <w:sz w:val="24"/>
          <w:szCs w:val="24"/>
        </w:rPr>
        <w:t xml:space="preserve">a benchmarking review in accordance with </w:t>
      </w:r>
      <w:r>
        <w:rPr>
          <w:rFonts w:ascii="Arial" w:hAnsi="Arial"/>
          <w:sz w:val="24"/>
          <w:szCs w:val="24"/>
        </w:rPr>
        <w:t>Framework</w:t>
      </w:r>
      <w:r w:rsidRPr="000A5403">
        <w:rPr>
          <w:rFonts w:ascii="Arial" w:hAnsi="Arial"/>
          <w:sz w:val="24"/>
          <w:szCs w:val="24"/>
        </w:rPr>
        <w:t xml:space="preserve"> Schedule 1</w:t>
      </w:r>
      <w:r>
        <w:rPr>
          <w:rFonts w:ascii="Arial" w:hAnsi="Arial"/>
          <w:sz w:val="24"/>
          <w:szCs w:val="24"/>
        </w:rPr>
        <w:t>1</w:t>
      </w:r>
      <w:r w:rsidRPr="000A5403">
        <w:rPr>
          <w:rFonts w:ascii="Arial" w:hAnsi="Arial"/>
          <w:sz w:val="24"/>
          <w:szCs w:val="24"/>
        </w:rPr>
        <w:t xml:space="preserve"> (Benchmarking);</w:t>
      </w:r>
    </w:p>
    <w:p w14:paraId="3F9A2E56" w14:textId="77777777" w:rsidR="00F27CC9" w:rsidRDefault="00F27CC9">
      <w:pPr>
        <w:pBdr>
          <w:top w:val="nil"/>
          <w:left w:val="nil"/>
          <w:bottom w:val="nil"/>
          <w:right w:val="nil"/>
          <w:between w:val="nil"/>
        </w:pBdr>
        <w:tabs>
          <w:tab w:val="left" w:pos="142"/>
        </w:tabs>
        <w:spacing w:before="120" w:after="240" w:line="240" w:lineRule="auto"/>
        <w:ind w:left="426"/>
        <w:jc w:val="both"/>
        <w:rPr>
          <w:rFonts w:ascii="Arial" w:eastAsia="Arial" w:hAnsi="Arial" w:cs="Arial"/>
          <w:b/>
          <w:color w:val="000000"/>
          <w:sz w:val="24"/>
          <w:szCs w:val="24"/>
        </w:rPr>
      </w:pPr>
      <w:bookmarkStart w:id="6" w:name="_3dy6vkm" w:colFirst="0" w:colLast="0"/>
      <w:bookmarkEnd w:id="6"/>
    </w:p>
    <w:p w14:paraId="18F08165" w14:textId="77777777" w:rsidR="00F27CC9" w:rsidRDefault="00F27CC9">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p>
    <w:p w14:paraId="5DA0C599" w14:textId="77777777" w:rsidR="00F27CC9" w:rsidRDefault="00F27CC9">
      <w:pPr>
        <w:pBdr>
          <w:top w:val="nil"/>
          <w:left w:val="nil"/>
          <w:bottom w:val="nil"/>
          <w:right w:val="nil"/>
          <w:between w:val="nil"/>
        </w:pBdr>
        <w:tabs>
          <w:tab w:val="left" w:pos="1985"/>
          <w:tab w:val="left" w:pos="2127"/>
        </w:tabs>
        <w:spacing w:before="120" w:after="120" w:line="240" w:lineRule="auto"/>
        <w:ind w:left="990" w:hanging="720"/>
        <w:rPr>
          <w:rFonts w:ascii="Arial" w:eastAsia="Arial" w:hAnsi="Arial" w:cs="Arial"/>
          <w:color w:val="000000"/>
          <w:sz w:val="24"/>
          <w:szCs w:val="24"/>
        </w:rPr>
      </w:pPr>
    </w:p>
    <w:p w14:paraId="7BC96A7A" w14:textId="77777777" w:rsidR="00F27CC9" w:rsidRDefault="00353DB6">
      <w:pPr>
        <w:rPr>
          <w:rFonts w:ascii="Arial" w:eastAsia="Arial" w:hAnsi="Arial" w:cs="Arial"/>
          <w:b/>
          <w:sz w:val="36"/>
          <w:szCs w:val="36"/>
        </w:rPr>
      </w:pPr>
      <w:bookmarkStart w:id="7" w:name="_1t3h5sf" w:colFirst="0" w:colLast="0"/>
      <w:bookmarkEnd w:id="7"/>
      <w:r>
        <w:br w:type="page"/>
      </w:r>
      <w:r>
        <w:rPr>
          <w:rFonts w:ascii="Arial" w:eastAsia="Arial" w:hAnsi="Arial" w:cs="Arial"/>
          <w:b/>
          <w:sz w:val="36"/>
          <w:szCs w:val="36"/>
        </w:rPr>
        <w:lastRenderedPageBreak/>
        <w:t>Annex 1: Pricing Mechanism, Framework Prices and Charges</w:t>
      </w:r>
    </w:p>
    <w:p w14:paraId="7906B9BC" w14:textId="77777777" w:rsidR="00F27CC9" w:rsidRDefault="00353DB6">
      <w:pPr>
        <w:keepNext/>
        <w:numPr>
          <w:ilvl w:val="0"/>
          <w:numId w:val="2"/>
        </w:numPr>
        <w:tabs>
          <w:tab w:val="left" w:pos="720"/>
        </w:tabs>
        <w:spacing w:before="240" w:after="240" w:line="240" w:lineRule="auto"/>
        <w:jc w:val="both"/>
        <w:rPr>
          <w:rFonts w:ascii="Arial" w:eastAsia="Arial" w:hAnsi="Arial" w:cs="Arial"/>
          <w:b/>
          <w:smallCaps/>
          <w:sz w:val="24"/>
          <w:szCs w:val="24"/>
        </w:rPr>
      </w:pPr>
      <w:bookmarkStart w:id="8" w:name="_4d34og8" w:colFirst="0" w:colLast="0"/>
      <w:bookmarkEnd w:id="8"/>
      <w:r>
        <w:rPr>
          <w:rFonts w:ascii="Arial" w:eastAsia="Arial" w:hAnsi="Arial" w:cs="Arial"/>
          <w:b/>
          <w:smallCaps/>
          <w:sz w:val="24"/>
          <w:szCs w:val="24"/>
        </w:rPr>
        <w:t>D</w:t>
      </w:r>
      <w:r>
        <w:rPr>
          <w:rFonts w:ascii="Arial Bold" w:eastAsia="Arial Bold" w:hAnsi="Arial Bold" w:cs="Arial Bold"/>
          <w:b/>
          <w:sz w:val="24"/>
          <w:szCs w:val="24"/>
        </w:rPr>
        <w:t>efinitions</w:t>
      </w:r>
    </w:p>
    <w:p w14:paraId="12106566" w14:textId="77777777" w:rsidR="00F27CC9" w:rsidRPr="003755D5"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In this Annex, the following words shall have the following meanings and they shall supplement Joint Schedule 1 (Definitions):</w:t>
      </w:r>
    </w:p>
    <w:tbl>
      <w:tblPr>
        <w:tblStyle w:val="a"/>
        <w:tblW w:w="7281" w:type="dxa"/>
        <w:tblInd w:w="1791" w:type="dxa"/>
        <w:tblLayout w:type="fixed"/>
        <w:tblLook w:val="0400" w:firstRow="0" w:lastRow="0" w:firstColumn="0" w:lastColumn="0" w:noHBand="0" w:noVBand="1"/>
      </w:tblPr>
      <w:tblGrid>
        <w:gridCol w:w="2178"/>
        <w:gridCol w:w="5103"/>
      </w:tblGrid>
      <w:tr w:rsidR="00F27CC9" w14:paraId="72F1D788" w14:textId="77777777" w:rsidTr="003755D5">
        <w:tc>
          <w:tcPr>
            <w:tcW w:w="2178" w:type="dxa"/>
          </w:tcPr>
          <w:p w14:paraId="1A0EB686" w14:textId="77777777" w:rsidR="00F27CC9" w:rsidRDefault="00353DB6">
            <w:pPr>
              <w:spacing w:after="120"/>
              <w:rPr>
                <w:rFonts w:ascii="Arial" w:eastAsia="Arial" w:hAnsi="Arial" w:cs="Arial"/>
                <w:b/>
                <w:sz w:val="24"/>
                <w:szCs w:val="24"/>
              </w:rPr>
            </w:pPr>
            <w:r>
              <w:rPr>
                <w:rFonts w:ascii="Arial" w:eastAsia="Arial" w:hAnsi="Arial" w:cs="Arial"/>
                <w:b/>
                <w:sz w:val="24"/>
                <w:szCs w:val="24"/>
              </w:rPr>
              <w:t>"Set Up Period"</w:t>
            </w:r>
          </w:p>
        </w:tc>
        <w:tc>
          <w:tcPr>
            <w:tcW w:w="5103" w:type="dxa"/>
          </w:tcPr>
          <w:p w14:paraId="417CFC8F" w14:textId="77777777" w:rsidR="00F27CC9" w:rsidRDefault="00353DB6">
            <w:pPr>
              <w:tabs>
                <w:tab w:val="left" w:pos="-179"/>
                <w:tab w:val="left" w:pos="-9"/>
              </w:tabs>
              <w:spacing w:after="120" w:line="240" w:lineRule="auto"/>
              <w:jc w:val="both"/>
              <w:rPr>
                <w:rFonts w:ascii="Arial" w:eastAsia="Arial" w:hAnsi="Arial" w:cs="Arial"/>
                <w:sz w:val="24"/>
                <w:szCs w:val="24"/>
              </w:rPr>
            </w:pPr>
            <w:proofErr w:type="gramStart"/>
            <w:r>
              <w:rPr>
                <w:rFonts w:ascii="Arial" w:eastAsia="Arial" w:hAnsi="Arial" w:cs="Arial"/>
              </w:rPr>
              <w:t>the</w:t>
            </w:r>
            <w:proofErr w:type="gramEnd"/>
            <w:r>
              <w:rPr>
                <w:rFonts w:ascii="Arial" w:eastAsia="Arial" w:hAnsi="Arial" w:cs="Arial"/>
              </w:rPr>
              <w:t xml:space="preserve"> period from the Framework Start Date until the Service Go-Live Date.</w:t>
            </w:r>
          </w:p>
        </w:tc>
      </w:tr>
      <w:tr w:rsidR="00F27CC9" w14:paraId="2EC1D8AF" w14:textId="77777777" w:rsidTr="003755D5">
        <w:tc>
          <w:tcPr>
            <w:tcW w:w="2178" w:type="dxa"/>
          </w:tcPr>
          <w:p w14:paraId="42E67797" w14:textId="77777777" w:rsidR="00F27CC9" w:rsidRDefault="00353DB6">
            <w:pPr>
              <w:spacing w:after="120"/>
              <w:rPr>
                <w:rFonts w:ascii="Arial" w:eastAsia="Arial" w:hAnsi="Arial" w:cs="Arial"/>
                <w:b/>
                <w:sz w:val="24"/>
                <w:szCs w:val="24"/>
              </w:rPr>
            </w:pPr>
            <w:r>
              <w:rPr>
                <w:rFonts w:ascii="Arial" w:eastAsia="Arial" w:hAnsi="Arial" w:cs="Arial"/>
                <w:b/>
                <w:sz w:val="24"/>
                <w:szCs w:val="24"/>
              </w:rPr>
              <w:t>"Y1"</w:t>
            </w:r>
          </w:p>
        </w:tc>
        <w:tc>
          <w:tcPr>
            <w:tcW w:w="5103" w:type="dxa"/>
          </w:tcPr>
          <w:p w14:paraId="1E86A703"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first year of service delivery, a period of one calendar year from the Service Go-Live Date.</w:t>
            </w:r>
          </w:p>
        </w:tc>
      </w:tr>
      <w:tr w:rsidR="00F27CC9" w14:paraId="6B845EB1" w14:textId="77777777" w:rsidTr="003755D5">
        <w:tc>
          <w:tcPr>
            <w:tcW w:w="2178" w:type="dxa"/>
          </w:tcPr>
          <w:p w14:paraId="5DA28D0F" w14:textId="77777777" w:rsidR="00F27CC9" w:rsidRDefault="00353DB6">
            <w:pPr>
              <w:spacing w:after="120"/>
              <w:rPr>
                <w:rFonts w:ascii="Arial" w:eastAsia="Arial" w:hAnsi="Arial" w:cs="Arial"/>
                <w:b/>
                <w:sz w:val="24"/>
                <w:szCs w:val="24"/>
              </w:rPr>
            </w:pPr>
            <w:r>
              <w:rPr>
                <w:rFonts w:ascii="Arial" w:eastAsia="Arial" w:hAnsi="Arial" w:cs="Arial"/>
                <w:b/>
                <w:sz w:val="24"/>
                <w:szCs w:val="24"/>
              </w:rPr>
              <w:t>"Y2"</w:t>
            </w:r>
          </w:p>
        </w:tc>
        <w:tc>
          <w:tcPr>
            <w:tcW w:w="5103" w:type="dxa"/>
          </w:tcPr>
          <w:p w14:paraId="400A7056"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second year of service delivery, a period of one calendar year from the end of Y1.</w:t>
            </w:r>
          </w:p>
        </w:tc>
      </w:tr>
      <w:tr w:rsidR="00F27CC9" w14:paraId="50145DD2" w14:textId="77777777" w:rsidTr="003755D5">
        <w:tc>
          <w:tcPr>
            <w:tcW w:w="2178" w:type="dxa"/>
          </w:tcPr>
          <w:p w14:paraId="5031A921" w14:textId="77777777" w:rsidR="00F27CC9" w:rsidRDefault="00353DB6">
            <w:pPr>
              <w:spacing w:after="120"/>
              <w:rPr>
                <w:rFonts w:ascii="Arial" w:eastAsia="Arial" w:hAnsi="Arial" w:cs="Arial"/>
                <w:b/>
                <w:sz w:val="24"/>
                <w:szCs w:val="24"/>
              </w:rPr>
            </w:pPr>
            <w:r>
              <w:rPr>
                <w:rFonts w:ascii="Arial" w:eastAsia="Arial" w:hAnsi="Arial" w:cs="Arial"/>
                <w:b/>
                <w:sz w:val="24"/>
                <w:szCs w:val="24"/>
              </w:rPr>
              <w:t>"Y3"</w:t>
            </w:r>
          </w:p>
        </w:tc>
        <w:tc>
          <w:tcPr>
            <w:tcW w:w="5103" w:type="dxa"/>
          </w:tcPr>
          <w:p w14:paraId="1C324882"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third year of service delivery, a period of one calendar year from the end of Y2.</w:t>
            </w:r>
          </w:p>
        </w:tc>
      </w:tr>
      <w:tr w:rsidR="00F27CC9" w14:paraId="69FD5060" w14:textId="77777777" w:rsidTr="003755D5">
        <w:tc>
          <w:tcPr>
            <w:tcW w:w="2178" w:type="dxa"/>
          </w:tcPr>
          <w:p w14:paraId="38601CC7" w14:textId="77777777" w:rsidR="00F27CC9" w:rsidRDefault="00353DB6">
            <w:pPr>
              <w:spacing w:after="120"/>
              <w:rPr>
                <w:rFonts w:ascii="Arial" w:eastAsia="Arial" w:hAnsi="Arial" w:cs="Arial"/>
                <w:b/>
                <w:sz w:val="24"/>
                <w:szCs w:val="24"/>
              </w:rPr>
            </w:pPr>
            <w:r>
              <w:rPr>
                <w:rFonts w:ascii="Arial" w:eastAsia="Arial" w:hAnsi="Arial" w:cs="Arial"/>
                <w:b/>
                <w:sz w:val="24"/>
                <w:szCs w:val="24"/>
              </w:rPr>
              <w:t>"Y4"</w:t>
            </w:r>
          </w:p>
        </w:tc>
        <w:tc>
          <w:tcPr>
            <w:tcW w:w="5103" w:type="dxa"/>
          </w:tcPr>
          <w:p w14:paraId="5A3CCFD0" w14:textId="77777777" w:rsidR="00F27CC9" w:rsidRDefault="00353DB6">
            <w:pPr>
              <w:tabs>
                <w:tab w:val="left" w:pos="-179"/>
                <w:tab w:val="left" w:pos="-9"/>
              </w:tabs>
              <w:spacing w:after="120" w:line="24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fourth year of service delivery, a period of one calendar year from the end of Y3.</w:t>
            </w:r>
          </w:p>
        </w:tc>
      </w:tr>
    </w:tbl>
    <w:p w14:paraId="3B2E01DE" w14:textId="77777777" w:rsidR="00F27CC9" w:rsidRDefault="00353DB6" w:rsidP="003755D5">
      <w:pPr>
        <w:keepNext/>
        <w:numPr>
          <w:ilvl w:val="0"/>
          <w:numId w:val="4"/>
        </w:numPr>
        <w:tabs>
          <w:tab w:val="left" w:pos="720"/>
        </w:tabs>
        <w:spacing w:before="240" w:after="240" w:line="240" w:lineRule="auto"/>
        <w:jc w:val="both"/>
        <w:rPr>
          <w:rFonts w:ascii="Arial Bold" w:eastAsia="Arial Bold" w:hAnsi="Arial Bold" w:cs="Arial Bold"/>
          <w:b/>
          <w:sz w:val="24"/>
          <w:szCs w:val="24"/>
        </w:rPr>
      </w:pPr>
      <w:r>
        <w:rPr>
          <w:rFonts w:ascii="Arial Bold" w:eastAsia="Arial Bold" w:hAnsi="Arial Bold" w:cs="Arial Bold"/>
          <w:b/>
          <w:sz w:val="24"/>
          <w:szCs w:val="24"/>
        </w:rPr>
        <w:t>Calculation of the Charges for Call-Off Contracts</w:t>
      </w:r>
    </w:p>
    <w:p w14:paraId="6F0A726B" w14:textId="77777777" w:rsidR="00F27CC9"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 xml:space="preserve">For each service delivery year, Y1, Y2, Y3 and Y4, CCS will calculate the Charges applicable to each Buyer as a percentage of the overall total price for the year. </w:t>
      </w:r>
    </w:p>
    <w:p w14:paraId="7ED46BBA" w14:textId="77777777" w:rsidR="00F27CC9"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CCS will notify the Supplier of the Charges applicable to each Buyer no more than thirty (30) days after the start of each service delivery year, Y1, Y2, Y3 and Y4.</w:t>
      </w:r>
    </w:p>
    <w:p w14:paraId="3635BE53" w14:textId="77777777" w:rsidR="00F27CC9" w:rsidRDefault="00353DB6" w:rsidP="003755D5">
      <w:pPr>
        <w:keepNext/>
        <w:numPr>
          <w:ilvl w:val="0"/>
          <w:numId w:val="4"/>
        </w:numPr>
        <w:tabs>
          <w:tab w:val="left" w:pos="720"/>
        </w:tabs>
        <w:spacing w:before="240" w:after="240" w:line="240" w:lineRule="auto"/>
        <w:jc w:val="both"/>
        <w:rPr>
          <w:rFonts w:ascii="Arial Bold" w:eastAsia="Arial Bold" w:hAnsi="Arial Bold" w:cs="Arial Bold"/>
          <w:b/>
          <w:sz w:val="24"/>
          <w:szCs w:val="24"/>
        </w:rPr>
      </w:pPr>
      <w:r>
        <w:rPr>
          <w:rFonts w:ascii="Arial Bold" w:eastAsia="Arial Bold" w:hAnsi="Arial Bold" w:cs="Arial Bold"/>
          <w:b/>
          <w:sz w:val="24"/>
          <w:szCs w:val="24"/>
        </w:rPr>
        <w:t xml:space="preserve">Pricing mechanism overview </w:t>
      </w:r>
    </w:p>
    <w:p w14:paraId="46D34474" w14:textId="77777777" w:rsidR="00F27CC9" w:rsidRDefault="00353DB6" w:rsidP="003755D5">
      <w:pPr>
        <w:keepNext/>
        <w:numPr>
          <w:ilvl w:val="1"/>
          <w:numId w:val="4"/>
        </w:numPr>
        <w:tabs>
          <w:tab w:val="left" w:pos="720"/>
        </w:tabs>
        <w:spacing w:before="240" w:after="240" w:line="240" w:lineRule="auto"/>
        <w:ind w:left="1701" w:hanging="567"/>
        <w:jc w:val="both"/>
        <w:rPr>
          <w:rFonts w:ascii="Arial" w:eastAsia="Arial" w:hAnsi="Arial" w:cs="Arial"/>
          <w:sz w:val="24"/>
          <w:szCs w:val="24"/>
        </w:rPr>
      </w:pPr>
      <w:r>
        <w:rPr>
          <w:rFonts w:ascii="Arial" w:eastAsia="Arial" w:hAnsi="Arial" w:cs="Arial"/>
          <w:sz w:val="24"/>
          <w:szCs w:val="24"/>
        </w:rPr>
        <w:t>The pricing mechanism for Lot 1 PSN DNS services and Lot 2 PSN Email Relay services is set out in Table 1 of this Annex.</w:t>
      </w:r>
    </w:p>
    <w:p w14:paraId="31F5E8DD" w14:textId="77777777" w:rsidR="00F27CC9" w:rsidRDefault="00F27CC9">
      <w:pPr>
        <w:keepNext/>
        <w:tabs>
          <w:tab w:val="left" w:pos="720"/>
        </w:tabs>
        <w:spacing w:before="240" w:after="240" w:line="240" w:lineRule="auto"/>
        <w:ind w:left="1080"/>
        <w:jc w:val="both"/>
        <w:rPr>
          <w:rFonts w:ascii="Arial" w:eastAsia="Arial" w:hAnsi="Arial" w:cs="Arial"/>
          <w:b/>
          <w:smallCaps/>
          <w:sz w:val="24"/>
          <w:szCs w:val="24"/>
        </w:rPr>
      </w:pPr>
    </w:p>
    <w:p w14:paraId="41F32E24" w14:textId="77777777" w:rsidR="00F27CC9" w:rsidRDefault="00F27CC9">
      <w:pPr>
        <w:rPr>
          <w:rFonts w:ascii="Arial" w:eastAsia="Arial" w:hAnsi="Arial" w:cs="Arial"/>
          <w:b/>
          <w:smallCaps/>
          <w:sz w:val="24"/>
          <w:szCs w:val="24"/>
        </w:rPr>
      </w:pPr>
    </w:p>
    <w:p w14:paraId="293DFC56" w14:textId="77777777" w:rsidR="00F27CC9" w:rsidRDefault="00F27CC9">
      <w:pPr>
        <w:rPr>
          <w:rFonts w:ascii="Arial" w:eastAsia="Arial" w:hAnsi="Arial" w:cs="Arial"/>
          <w:b/>
          <w:smallCaps/>
          <w:sz w:val="24"/>
          <w:szCs w:val="24"/>
        </w:rPr>
      </w:pPr>
    </w:p>
    <w:p w14:paraId="4A06403D" w14:textId="77777777" w:rsidR="00F27CC9" w:rsidRDefault="00F27CC9">
      <w:pPr>
        <w:rPr>
          <w:rFonts w:ascii="Arial" w:eastAsia="Arial" w:hAnsi="Arial" w:cs="Arial"/>
          <w:b/>
          <w:smallCaps/>
          <w:sz w:val="24"/>
          <w:szCs w:val="24"/>
        </w:rPr>
      </w:pPr>
    </w:p>
    <w:p w14:paraId="6CDB4B8F" w14:textId="733DEDE2" w:rsidR="009978E6" w:rsidRDefault="009978E6">
      <w:pPr>
        <w:rPr>
          <w:rFonts w:ascii="Arial" w:eastAsia="Arial" w:hAnsi="Arial" w:cs="Arial"/>
          <w:b/>
          <w:smallCaps/>
          <w:sz w:val="24"/>
          <w:szCs w:val="24"/>
        </w:rPr>
      </w:pPr>
      <w:r>
        <w:rPr>
          <w:rFonts w:ascii="Arial" w:eastAsia="Arial" w:hAnsi="Arial" w:cs="Arial"/>
          <w:b/>
          <w:smallCaps/>
          <w:sz w:val="24"/>
          <w:szCs w:val="24"/>
        </w:rPr>
        <w:br w:type="page"/>
      </w:r>
    </w:p>
    <w:p w14:paraId="33EEA044" w14:textId="77777777" w:rsidR="00F27CC9" w:rsidRDefault="00353DB6">
      <w:pPr>
        <w:rPr>
          <w:rFonts w:ascii="Arial" w:eastAsia="Arial" w:hAnsi="Arial" w:cs="Arial"/>
          <w:b/>
          <w:sz w:val="24"/>
          <w:szCs w:val="24"/>
        </w:rPr>
      </w:pPr>
      <w:r>
        <w:rPr>
          <w:rFonts w:ascii="Arial" w:eastAsia="Arial" w:hAnsi="Arial" w:cs="Arial"/>
          <w:b/>
          <w:sz w:val="24"/>
          <w:szCs w:val="24"/>
        </w:rPr>
        <w:lastRenderedPageBreak/>
        <w:t>Table 1</w:t>
      </w:r>
    </w:p>
    <w:tbl>
      <w:tblPr>
        <w:tblStyle w:val="a0"/>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8"/>
        <w:gridCol w:w="1140"/>
        <w:gridCol w:w="1325"/>
        <w:gridCol w:w="1324"/>
        <w:gridCol w:w="1324"/>
        <w:gridCol w:w="1324"/>
        <w:gridCol w:w="1324"/>
      </w:tblGrid>
      <w:tr w:rsidR="00F27CC9" w14:paraId="3FB9438A" w14:textId="77777777">
        <w:tc>
          <w:tcPr>
            <w:tcW w:w="1269" w:type="dxa"/>
            <w:shd w:val="clear" w:color="auto" w:fill="D9D9D9"/>
            <w:tcMar>
              <w:top w:w="100" w:type="dxa"/>
              <w:left w:w="100" w:type="dxa"/>
              <w:bottom w:w="100" w:type="dxa"/>
              <w:right w:w="100" w:type="dxa"/>
            </w:tcMar>
          </w:tcPr>
          <w:p w14:paraId="64871928" w14:textId="77777777" w:rsidR="00F27CC9" w:rsidRDefault="00353DB6">
            <w:pPr>
              <w:widowControl w:val="0"/>
              <w:spacing w:after="0" w:line="240" w:lineRule="auto"/>
              <w:rPr>
                <w:rFonts w:ascii="Arial" w:eastAsia="Arial" w:hAnsi="Arial" w:cs="Arial"/>
                <w:b/>
                <w:sz w:val="18"/>
                <w:szCs w:val="18"/>
              </w:rPr>
            </w:pPr>
            <w:r>
              <w:rPr>
                <w:rFonts w:ascii="Arial" w:eastAsia="Arial" w:hAnsi="Arial" w:cs="Arial"/>
                <w:b/>
                <w:sz w:val="18"/>
                <w:szCs w:val="18"/>
              </w:rPr>
              <w:t>Time period</w:t>
            </w:r>
          </w:p>
        </w:tc>
        <w:tc>
          <w:tcPr>
            <w:tcW w:w="1140" w:type="dxa"/>
            <w:shd w:val="clear" w:color="auto" w:fill="D9D9D9"/>
            <w:tcMar>
              <w:top w:w="100" w:type="dxa"/>
              <w:left w:w="100" w:type="dxa"/>
              <w:bottom w:w="100" w:type="dxa"/>
              <w:right w:w="100" w:type="dxa"/>
            </w:tcMar>
          </w:tcPr>
          <w:p w14:paraId="2DDD062C"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Set Up Period</w:t>
            </w:r>
          </w:p>
        </w:tc>
        <w:tc>
          <w:tcPr>
            <w:tcW w:w="1325" w:type="dxa"/>
            <w:shd w:val="clear" w:color="auto" w:fill="D9D9D9"/>
            <w:tcMar>
              <w:top w:w="100" w:type="dxa"/>
              <w:left w:w="100" w:type="dxa"/>
              <w:bottom w:w="100" w:type="dxa"/>
              <w:right w:w="100" w:type="dxa"/>
            </w:tcMar>
          </w:tcPr>
          <w:p w14:paraId="13429C61"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Y1</w:t>
            </w:r>
          </w:p>
        </w:tc>
        <w:tc>
          <w:tcPr>
            <w:tcW w:w="1324" w:type="dxa"/>
            <w:shd w:val="clear" w:color="auto" w:fill="D9D9D9"/>
            <w:tcMar>
              <w:top w:w="100" w:type="dxa"/>
              <w:left w:w="100" w:type="dxa"/>
              <w:bottom w:w="100" w:type="dxa"/>
              <w:right w:w="100" w:type="dxa"/>
            </w:tcMar>
          </w:tcPr>
          <w:p w14:paraId="7D75F945"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Y2</w:t>
            </w:r>
          </w:p>
        </w:tc>
        <w:tc>
          <w:tcPr>
            <w:tcW w:w="1324" w:type="dxa"/>
            <w:shd w:val="clear" w:color="auto" w:fill="D9D9D9"/>
            <w:tcMar>
              <w:top w:w="100" w:type="dxa"/>
              <w:left w:w="100" w:type="dxa"/>
              <w:bottom w:w="100" w:type="dxa"/>
              <w:right w:w="100" w:type="dxa"/>
            </w:tcMar>
          </w:tcPr>
          <w:p w14:paraId="31E8C993"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Y3</w:t>
            </w:r>
          </w:p>
        </w:tc>
        <w:tc>
          <w:tcPr>
            <w:tcW w:w="1324" w:type="dxa"/>
            <w:shd w:val="clear" w:color="auto" w:fill="D9D9D9"/>
            <w:tcMar>
              <w:top w:w="100" w:type="dxa"/>
              <w:left w:w="100" w:type="dxa"/>
              <w:bottom w:w="100" w:type="dxa"/>
              <w:right w:w="100" w:type="dxa"/>
            </w:tcMar>
          </w:tcPr>
          <w:p w14:paraId="4A89C978"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Y4</w:t>
            </w:r>
          </w:p>
        </w:tc>
        <w:tc>
          <w:tcPr>
            <w:tcW w:w="1324" w:type="dxa"/>
            <w:shd w:val="clear" w:color="auto" w:fill="D9D9D9"/>
            <w:tcMar>
              <w:top w:w="100" w:type="dxa"/>
              <w:left w:w="100" w:type="dxa"/>
              <w:bottom w:w="100" w:type="dxa"/>
              <w:right w:w="100" w:type="dxa"/>
            </w:tcMar>
          </w:tcPr>
          <w:p w14:paraId="2302DBDC"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b/>
                <w:sz w:val="18"/>
                <w:szCs w:val="18"/>
              </w:rPr>
              <w:t>Service delivery beyond Framework Expiry Date</w:t>
            </w:r>
          </w:p>
        </w:tc>
      </w:tr>
      <w:tr w:rsidR="00F27CC9" w14:paraId="30D9A0DB" w14:textId="77777777">
        <w:trPr>
          <w:trHeight w:val="380"/>
        </w:trPr>
        <w:tc>
          <w:tcPr>
            <w:tcW w:w="1269" w:type="dxa"/>
            <w:shd w:val="clear" w:color="auto" w:fill="D9D9D9"/>
            <w:tcMar>
              <w:top w:w="100" w:type="dxa"/>
              <w:left w:w="100" w:type="dxa"/>
              <w:bottom w:w="100" w:type="dxa"/>
              <w:right w:w="100" w:type="dxa"/>
            </w:tcMar>
          </w:tcPr>
          <w:p w14:paraId="4160DCF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Framework Prices</w:t>
            </w:r>
          </w:p>
        </w:tc>
        <w:tc>
          <w:tcPr>
            <w:tcW w:w="1140" w:type="dxa"/>
            <w:shd w:val="clear" w:color="auto" w:fill="auto"/>
            <w:tcMar>
              <w:top w:w="100" w:type="dxa"/>
              <w:left w:w="100" w:type="dxa"/>
              <w:bottom w:w="100" w:type="dxa"/>
              <w:right w:w="100" w:type="dxa"/>
            </w:tcMar>
          </w:tcPr>
          <w:p w14:paraId="3C092B9F"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Set up</w:t>
            </w:r>
          </w:p>
          <w:p w14:paraId="46DB4854"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price</w:t>
            </w:r>
          </w:p>
        </w:tc>
        <w:tc>
          <w:tcPr>
            <w:tcW w:w="1325" w:type="dxa"/>
            <w:shd w:val="clear" w:color="auto" w:fill="auto"/>
            <w:tcMar>
              <w:top w:w="100" w:type="dxa"/>
              <w:left w:w="100" w:type="dxa"/>
              <w:bottom w:w="100" w:type="dxa"/>
              <w:right w:w="100" w:type="dxa"/>
            </w:tcMar>
          </w:tcPr>
          <w:p w14:paraId="6572A8FD"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Y1Y2</w:t>
            </w:r>
          </w:p>
          <w:p w14:paraId="7AC9D004"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 xml:space="preserve"> Annual running price</w:t>
            </w:r>
          </w:p>
          <w:p w14:paraId="2B3E2F0D" w14:textId="77777777" w:rsidR="00F27CC9" w:rsidRDefault="00F27CC9">
            <w:pPr>
              <w:widowControl w:val="0"/>
              <w:pBdr>
                <w:top w:val="nil"/>
                <w:left w:val="nil"/>
                <w:bottom w:val="nil"/>
                <w:right w:val="nil"/>
                <w:between w:val="nil"/>
              </w:pBdr>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0B9FDA78"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Y1Y2</w:t>
            </w:r>
          </w:p>
          <w:p w14:paraId="0E8CF1C8"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5024445F" w14:textId="77777777" w:rsidR="00F27CC9" w:rsidRDefault="00F27CC9">
            <w:pPr>
              <w:widowControl w:val="0"/>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1A5FCBA1"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Y3</w:t>
            </w:r>
          </w:p>
          <w:p w14:paraId="68138E2B"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5141E7AE" w14:textId="77777777" w:rsidR="00F27CC9" w:rsidRDefault="00F27CC9">
            <w:pPr>
              <w:widowControl w:val="0"/>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6861D2CE"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Y4</w:t>
            </w:r>
          </w:p>
          <w:p w14:paraId="0BE10573"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529AD3BC" w14:textId="77777777" w:rsidR="00F27CC9" w:rsidRDefault="00F27CC9">
            <w:pPr>
              <w:widowControl w:val="0"/>
              <w:spacing w:after="0" w:line="240" w:lineRule="auto"/>
              <w:jc w:val="center"/>
              <w:rPr>
                <w:rFonts w:ascii="Arial" w:eastAsia="Arial" w:hAnsi="Arial" w:cs="Arial"/>
                <w:sz w:val="18"/>
                <w:szCs w:val="18"/>
              </w:rPr>
            </w:pPr>
          </w:p>
        </w:tc>
        <w:tc>
          <w:tcPr>
            <w:tcW w:w="1324" w:type="dxa"/>
            <w:vMerge w:val="restart"/>
            <w:shd w:val="clear" w:color="auto" w:fill="auto"/>
            <w:tcMar>
              <w:top w:w="100" w:type="dxa"/>
              <w:left w:w="100" w:type="dxa"/>
              <w:bottom w:w="100" w:type="dxa"/>
              <w:right w:w="100" w:type="dxa"/>
            </w:tcMar>
          </w:tcPr>
          <w:p w14:paraId="18B9ADAA" w14:textId="77777777" w:rsidR="00F27CC9" w:rsidRDefault="00F27CC9">
            <w:pPr>
              <w:widowControl w:val="0"/>
              <w:spacing w:after="0" w:line="240" w:lineRule="auto"/>
              <w:jc w:val="center"/>
              <w:rPr>
                <w:rFonts w:ascii="Arial" w:eastAsia="Arial" w:hAnsi="Arial" w:cs="Arial"/>
                <w:sz w:val="18"/>
                <w:szCs w:val="18"/>
              </w:rPr>
            </w:pPr>
          </w:p>
          <w:p w14:paraId="2648087C" w14:textId="77777777" w:rsidR="00F27CC9" w:rsidRDefault="00F27CC9">
            <w:pPr>
              <w:widowControl w:val="0"/>
              <w:spacing w:after="0" w:line="240" w:lineRule="auto"/>
              <w:jc w:val="center"/>
              <w:rPr>
                <w:rFonts w:ascii="Arial" w:eastAsia="Arial" w:hAnsi="Arial" w:cs="Arial"/>
                <w:sz w:val="18"/>
                <w:szCs w:val="18"/>
              </w:rPr>
            </w:pPr>
          </w:p>
          <w:p w14:paraId="347A3997"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To be determined prior to the Framework Expiry Date</w:t>
            </w:r>
          </w:p>
          <w:p w14:paraId="500026B4"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(if required) as per Paragraph 6.1.3 of Framework Schedule 3</w:t>
            </w:r>
          </w:p>
        </w:tc>
      </w:tr>
      <w:tr w:rsidR="00F27CC9" w14:paraId="1E0C19D7" w14:textId="77777777">
        <w:trPr>
          <w:trHeight w:val="420"/>
        </w:trPr>
        <w:tc>
          <w:tcPr>
            <w:tcW w:w="1269" w:type="dxa"/>
            <w:shd w:val="clear" w:color="auto" w:fill="D9D9D9"/>
            <w:tcMar>
              <w:top w:w="100" w:type="dxa"/>
              <w:left w:w="100" w:type="dxa"/>
              <w:bottom w:w="100" w:type="dxa"/>
              <w:right w:w="100" w:type="dxa"/>
            </w:tcMar>
          </w:tcPr>
          <w:p w14:paraId="27FCC6C1"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Supplier price recovery</w:t>
            </w:r>
          </w:p>
          <w:p w14:paraId="2761A1BF"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(invoiced)</w:t>
            </w:r>
          </w:p>
        </w:tc>
        <w:tc>
          <w:tcPr>
            <w:tcW w:w="1140" w:type="dxa"/>
            <w:shd w:val="clear" w:color="auto" w:fill="auto"/>
            <w:tcMar>
              <w:top w:w="100" w:type="dxa"/>
              <w:left w:w="100" w:type="dxa"/>
              <w:bottom w:w="100" w:type="dxa"/>
              <w:right w:w="100" w:type="dxa"/>
            </w:tcMar>
          </w:tcPr>
          <w:p w14:paraId="6786E8BD"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None</w:t>
            </w:r>
          </w:p>
        </w:tc>
        <w:tc>
          <w:tcPr>
            <w:tcW w:w="1325" w:type="dxa"/>
            <w:shd w:val="clear" w:color="auto" w:fill="auto"/>
            <w:tcMar>
              <w:top w:w="100" w:type="dxa"/>
              <w:left w:w="100" w:type="dxa"/>
              <w:bottom w:w="100" w:type="dxa"/>
              <w:right w:w="100" w:type="dxa"/>
            </w:tcMar>
          </w:tcPr>
          <w:p w14:paraId="3D9B7805"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50% Set up price</w:t>
            </w:r>
          </w:p>
          <w:p w14:paraId="10583E19"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2452F63D"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Y1Y2</w:t>
            </w:r>
          </w:p>
          <w:p w14:paraId="1DBD3BA2"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 xml:space="preserve"> Annual running price</w:t>
            </w:r>
          </w:p>
          <w:p w14:paraId="7FA57589"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099B181C"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Invoicing price</w:t>
            </w:r>
          </w:p>
        </w:tc>
        <w:tc>
          <w:tcPr>
            <w:tcW w:w="1324" w:type="dxa"/>
            <w:shd w:val="clear" w:color="auto" w:fill="auto"/>
            <w:tcMar>
              <w:top w:w="100" w:type="dxa"/>
              <w:left w:w="100" w:type="dxa"/>
              <w:bottom w:w="100" w:type="dxa"/>
              <w:right w:w="100" w:type="dxa"/>
            </w:tcMar>
          </w:tcPr>
          <w:p w14:paraId="1DF8B015"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50% Set up price</w:t>
            </w:r>
          </w:p>
          <w:p w14:paraId="6887DB29"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3EEFA350"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Y1Y2</w:t>
            </w:r>
          </w:p>
          <w:p w14:paraId="0A5911BA"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1609C1FF"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0F641AAC" w14:textId="77777777" w:rsidR="00F27CC9" w:rsidRDefault="00353DB6">
            <w:pPr>
              <w:widowControl w:val="0"/>
              <w:spacing w:after="0" w:line="240" w:lineRule="auto"/>
              <w:jc w:val="center"/>
              <w:rPr>
                <w:rFonts w:ascii="Arial" w:eastAsia="Arial" w:hAnsi="Arial" w:cs="Arial"/>
                <w:b/>
              </w:rPr>
            </w:pPr>
            <w:r>
              <w:rPr>
                <w:rFonts w:ascii="Arial" w:eastAsia="Arial" w:hAnsi="Arial" w:cs="Arial"/>
                <w:sz w:val="18"/>
                <w:szCs w:val="18"/>
              </w:rPr>
              <w:t>Invoicing price</w:t>
            </w:r>
          </w:p>
        </w:tc>
        <w:tc>
          <w:tcPr>
            <w:tcW w:w="1324" w:type="dxa"/>
            <w:shd w:val="clear" w:color="auto" w:fill="auto"/>
            <w:tcMar>
              <w:top w:w="100" w:type="dxa"/>
              <w:left w:w="100" w:type="dxa"/>
              <w:bottom w:w="100" w:type="dxa"/>
              <w:right w:w="100" w:type="dxa"/>
            </w:tcMar>
          </w:tcPr>
          <w:p w14:paraId="0E5FF375" w14:textId="77777777" w:rsidR="00F27CC9" w:rsidRDefault="00F27CC9">
            <w:pPr>
              <w:widowControl w:val="0"/>
              <w:spacing w:after="0" w:line="240" w:lineRule="auto"/>
              <w:jc w:val="center"/>
              <w:rPr>
                <w:rFonts w:ascii="Arial" w:eastAsia="Arial" w:hAnsi="Arial" w:cs="Arial"/>
                <w:sz w:val="18"/>
                <w:szCs w:val="18"/>
              </w:rPr>
            </w:pPr>
          </w:p>
          <w:p w14:paraId="120B811C" w14:textId="77777777" w:rsidR="00F27CC9" w:rsidRDefault="00F27CC9">
            <w:pPr>
              <w:widowControl w:val="0"/>
              <w:spacing w:after="0" w:line="240" w:lineRule="auto"/>
              <w:jc w:val="center"/>
              <w:rPr>
                <w:rFonts w:ascii="Arial" w:eastAsia="Arial" w:hAnsi="Arial" w:cs="Arial"/>
                <w:sz w:val="18"/>
                <w:szCs w:val="18"/>
              </w:rPr>
            </w:pPr>
          </w:p>
          <w:p w14:paraId="5E64CC16" w14:textId="77777777" w:rsidR="00F27CC9" w:rsidRDefault="00F27CC9">
            <w:pPr>
              <w:widowControl w:val="0"/>
              <w:spacing w:after="0" w:line="240" w:lineRule="auto"/>
              <w:jc w:val="center"/>
              <w:rPr>
                <w:rFonts w:ascii="Arial" w:eastAsia="Arial" w:hAnsi="Arial" w:cs="Arial"/>
                <w:sz w:val="18"/>
                <w:szCs w:val="18"/>
              </w:rPr>
            </w:pPr>
          </w:p>
          <w:p w14:paraId="5BF65BAE"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Y3</w:t>
            </w:r>
          </w:p>
          <w:p w14:paraId="15280D70"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3C983264"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35D202B7"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sz w:val="18"/>
                <w:szCs w:val="18"/>
              </w:rPr>
              <w:t>Invoicing price</w:t>
            </w:r>
          </w:p>
        </w:tc>
        <w:tc>
          <w:tcPr>
            <w:tcW w:w="1324" w:type="dxa"/>
            <w:shd w:val="clear" w:color="auto" w:fill="auto"/>
            <w:tcMar>
              <w:top w:w="100" w:type="dxa"/>
              <w:left w:w="100" w:type="dxa"/>
              <w:bottom w:w="100" w:type="dxa"/>
              <w:right w:w="100" w:type="dxa"/>
            </w:tcMar>
          </w:tcPr>
          <w:p w14:paraId="54BEFEE5" w14:textId="77777777" w:rsidR="00F27CC9" w:rsidRDefault="00F27CC9">
            <w:pPr>
              <w:widowControl w:val="0"/>
              <w:spacing w:after="0" w:line="240" w:lineRule="auto"/>
              <w:jc w:val="center"/>
              <w:rPr>
                <w:rFonts w:ascii="Arial" w:eastAsia="Arial" w:hAnsi="Arial" w:cs="Arial"/>
                <w:sz w:val="18"/>
                <w:szCs w:val="18"/>
              </w:rPr>
            </w:pPr>
          </w:p>
          <w:p w14:paraId="3E457DEB" w14:textId="77777777" w:rsidR="00F27CC9" w:rsidRDefault="00F27CC9">
            <w:pPr>
              <w:widowControl w:val="0"/>
              <w:spacing w:after="0" w:line="240" w:lineRule="auto"/>
              <w:jc w:val="center"/>
              <w:rPr>
                <w:rFonts w:ascii="Arial" w:eastAsia="Arial" w:hAnsi="Arial" w:cs="Arial"/>
                <w:sz w:val="18"/>
                <w:szCs w:val="18"/>
              </w:rPr>
            </w:pPr>
          </w:p>
          <w:p w14:paraId="0AFC7B56" w14:textId="77777777" w:rsidR="00F27CC9" w:rsidRDefault="00F27CC9">
            <w:pPr>
              <w:widowControl w:val="0"/>
              <w:spacing w:after="0" w:line="240" w:lineRule="auto"/>
              <w:jc w:val="center"/>
              <w:rPr>
                <w:rFonts w:ascii="Arial" w:eastAsia="Arial" w:hAnsi="Arial" w:cs="Arial"/>
                <w:sz w:val="18"/>
                <w:szCs w:val="18"/>
              </w:rPr>
            </w:pPr>
          </w:p>
          <w:p w14:paraId="1314595A"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Y4</w:t>
            </w:r>
          </w:p>
          <w:p w14:paraId="0EB493A3"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Annual running price</w:t>
            </w:r>
          </w:p>
          <w:p w14:paraId="409081B2"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w:t>
            </w:r>
          </w:p>
          <w:p w14:paraId="02CC6D53" w14:textId="77777777" w:rsidR="00F27CC9" w:rsidRDefault="00353DB6">
            <w:pPr>
              <w:widowControl w:val="0"/>
              <w:spacing w:after="0" w:line="240" w:lineRule="auto"/>
              <w:jc w:val="center"/>
              <w:rPr>
                <w:rFonts w:ascii="Arial" w:eastAsia="Arial" w:hAnsi="Arial" w:cs="Arial"/>
                <w:b/>
                <w:sz w:val="18"/>
                <w:szCs w:val="18"/>
              </w:rPr>
            </w:pPr>
            <w:r>
              <w:rPr>
                <w:rFonts w:ascii="Arial" w:eastAsia="Arial" w:hAnsi="Arial" w:cs="Arial"/>
                <w:sz w:val="18"/>
                <w:szCs w:val="18"/>
              </w:rPr>
              <w:t>Invoicing price</w:t>
            </w:r>
          </w:p>
        </w:tc>
        <w:tc>
          <w:tcPr>
            <w:tcW w:w="1324" w:type="dxa"/>
            <w:vMerge/>
            <w:shd w:val="clear" w:color="auto" w:fill="auto"/>
            <w:tcMar>
              <w:top w:w="100" w:type="dxa"/>
              <w:left w:w="100" w:type="dxa"/>
              <w:bottom w:w="100" w:type="dxa"/>
              <w:right w:w="100" w:type="dxa"/>
            </w:tcMar>
          </w:tcPr>
          <w:p w14:paraId="778AAC97" w14:textId="77777777" w:rsidR="00F27CC9" w:rsidRDefault="00F27CC9">
            <w:pPr>
              <w:widowControl w:val="0"/>
              <w:pBdr>
                <w:top w:val="nil"/>
                <w:left w:val="nil"/>
                <w:bottom w:val="nil"/>
                <w:right w:val="nil"/>
                <w:between w:val="nil"/>
              </w:pBdr>
              <w:spacing w:after="0"/>
              <w:rPr>
                <w:rFonts w:ascii="Arial" w:eastAsia="Arial" w:hAnsi="Arial" w:cs="Arial"/>
                <w:b/>
                <w:sz w:val="18"/>
                <w:szCs w:val="18"/>
              </w:rPr>
            </w:pPr>
          </w:p>
        </w:tc>
      </w:tr>
      <w:tr w:rsidR="00F27CC9" w14:paraId="7371C090" w14:textId="77777777">
        <w:trPr>
          <w:trHeight w:val="380"/>
        </w:trPr>
        <w:tc>
          <w:tcPr>
            <w:tcW w:w="1269" w:type="dxa"/>
            <w:shd w:val="clear" w:color="auto" w:fill="D9D9D9"/>
            <w:tcMar>
              <w:top w:w="100" w:type="dxa"/>
              <w:left w:w="100" w:type="dxa"/>
              <w:bottom w:w="100" w:type="dxa"/>
              <w:right w:w="100" w:type="dxa"/>
            </w:tcMar>
          </w:tcPr>
          <w:p w14:paraId="514816C2"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 xml:space="preserve">Framework Contract </w:t>
            </w:r>
          </w:p>
        </w:tc>
        <w:tc>
          <w:tcPr>
            <w:tcW w:w="6437" w:type="dxa"/>
            <w:gridSpan w:val="5"/>
            <w:shd w:val="clear" w:color="auto" w:fill="auto"/>
            <w:tcMar>
              <w:top w:w="100" w:type="dxa"/>
              <w:left w:w="100" w:type="dxa"/>
              <w:bottom w:w="100" w:type="dxa"/>
              <w:right w:w="100" w:type="dxa"/>
            </w:tcMar>
          </w:tcPr>
          <w:p w14:paraId="559DFF85"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 xml:space="preserve">Framework Contract Period </w:t>
            </w:r>
          </w:p>
          <w:p w14:paraId="29607280" w14:textId="77777777" w:rsidR="00F27CC9" w:rsidRDefault="00F27CC9">
            <w:pPr>
              <w:widowControl w:val="0"/>
              <w:pBdr>
                <w:top w:val="nil"/>
                <w:left w:val="nil"/>
                <w:bottom w:val="nil"/>
                <w:right w:val="nil"/>
                <w:between w:val="nil"/>
              </w:pBdr>
              <w:spacing w:after="0" w:line="240" w:lineRule="auto"/>
              <w:jc w:val="center"/>
              <w:rPr>
                <w:rFonts w:ascii="Arial" w:eastAsia="Arial" w:hAnsi="Arial" w:cs="Arial"/>
                <w:sz w:val="18"/>
                <w:szCs w:val="18"/>
              </w:rPr>
            </w:pPr>
          </w:p>
        </w:tc>
        <w:tc>
          <w:tcPr>
            <w:tcW w:w="1324" w:type="dxa"/>
            <w:shd w:val="clear" w:color="auto" w:fill="auto"/>
            <w:tcMar>
              <w:top w:w="100" w:type="dxa"/>
              <w:left w:w="100" w:type="dxa"/>
              <w:bottom w:w="100" w:type="dxa"/>
              <w:right w:w="100" w:type="dxa"/>
            </w:tcMar>
          </w:tcPr>
          <w:p w14:paraId="74156287"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N/A</w:t>
            </w:r>
          </w:p>
        </w:tc>
      </w:tr>
      <w:tr w:rsidR="00F27CC9" w14:paraId="0A16D86F" w14:textId="77777777">
        <w:trPr>
          <w:trHeight w:val="380"/>
        </w:trPr>
        <w:tc>
          <w:tcPr>
            <w:tcW w:w="1269" w:type="dxa"/>
            <w:shd w:val="clear" w:color="auto" w:fill="D9D9D9"/>
            <w:tcMar>
              <w:top w:w="100" w:type="dxa"/>
              <w:left w:w="100" w:type="dxa"/>
              <w:bottom w:w="100" w:type="dxa"/>
              <w:right w:w="100" w:type="dxa"/>
            </w:tcMar>
          </w:tcPr>
          <w:p w14:paraId="6DF5475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18"/>
                <w:szCs w:val="18"/>
              </w:rPr>
            </w:pPr>
            <w:r>
              <w:rPr>
                <w:rFonts w:ascii="Arial" w:eastAsia="Arial" w:hAnsi="Arial" w:cs="Arial"/>
                <w:b/>
                <w:sz w:val="18"/>
                <w:szCs w:val="18"/>
              </w:rPr>
              <w:t xml:space="preserve">Call-Off Contract </w:t>
            </w:r>
          </w:p>
        </w:tc>
        <w:tc>
          <w:tcPr>
            <w:tcW w:w="1140" w:type="dxa"/>
            <w:shd w:val="clear" w:color="auto" w:fill="auto"/>
            <w:tcMar>
              <w:top w:w="100" w:type="dxa"/>
              <w:left w:w="100" w:type="dxa"/>
              <w:bottom w:w="100" w:type="dxa"/>
              <w:right w:w="100" w:type="dxa"/>
            </w:tcMar>
          </w:tcPr>
          <w:p w14:paraId="75BE3475" w14:textId="77777777" w:rsidR="00F27CC9" w:rsidRDefault="00353DB6">
            <w:pPr>
              <w:widowControl w:val="0"/>
              <w:pBdr>
                <w:top w:val="nil"/>
                <w:left w:val="nil"/>
                <w:bottom w:val="nil"/>
                <w:right w:val="nil"/>
                <w:between w:val="nil"/>
              </w:pBdr>
              <w:spacing w:after="0" w:line="240" w:lineRule="auto"/>
              <w:rPr>
                <w:rFonts w:ascii="Arial" w:eastAsia="Arial" w:hAnsi="Arial" w:cs="Arial"/>
                <w:sz w:val="18"/>
                <w:szCs w:val="18"/>
              </w:rPr>
            </w:pPr>
            <w:r>
              <w:rPr>
                <w:rFonts w:ascii="Arial" w:eastAsia="Arial" w:hAnsi="Arial" w:cs="Arial"/>
                <w:sz w:val="18"/>
                <w:szCs w:val="18"/>
              </w:rPr>
              <w:t>Buyer(s) sign Call-Off Contracts</w:t>
            </w:r>
          </w:p>
        </w:tc>
        <w:tc>
          <w:tcPr>
            <w:tcW w:w="2649" w:type="dxa"/>
            <w:gridSpan w:val="2"/>
            <w:shd w:val="clear" w:color="auto" w:fill="auto"/>
            <w:tcMar>
              <w:top w:w="100" w:type="dxa"/>
              <w:left w:w="100" w:type="dxa"/>
              <w:bottom w:w="100" w:type="dxa"/>
              <w:right w:w="100" w:type="dxa"/>
            </w:tcMar>
          </w:tcPr>
          <w:p w14:paraId="1CEF6FB5" w14:textId="77777777" w:rsidR="00F27CC9" w:rsidRDefault="00353DB6">
            <w:pPr>
              <w:widowControl w:val="0"/>
              <w:spacing w:after="0" w:line="240" w:lineRule="auto"/>
              <w:jc w:val="center"/>
              <w:rPr>
                <w:rFonts w:ascii="Arial" w:eastAsia="Arial" w:hAnsi="Arial" w:cs="Arial"/>
                <w:sz w:val="18"/>
                <w:szCs w:val="18"/>
              </w:rPr>
            </w:pPr>
            <w:r>
              <w:rPr>
                <w:rFonts w:ascii="Arial" w:eastAsia="Arial" w:hAnsi="Arial" w:cs="Arial"/>
                <w:sz w:val="18"/>
                <w:szCs w:val="18"/>
              </w:rPr>
              <w:t>Call-Off Initial Period</w:t>
            </w:r>
          </w:p>
        </w:tc>
        <w:tc>
          <w:tcPr>
            <w:tcW w:w="1324" w:type="dxa"/>
            <w:shd w:val="clear" w:color="auto" w:fill="auto"/>
            <w:tcMar>
              <w:top w:w="100" w:type="dxa"/>
              <w:left w:w="100" w:type="dxa"/>
              <w:bottom w:w="100" w:type="dxa"/>
              <w:right w:w="100" w:type="dxa"/>
            </w:tcMar>
          </w:tcPr>
          <w:p w14:paraId="289D2854"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 xml:space="preserve">Call-Off Optional Extension Period </w:t>
            </w:r>
          </w:p>
        </w:tc>
        <w:tc>
          <w:tcPr>
            <w:tcW w:w="1324" w:type="dxa"/>
            <w:shd w:val="clear" w:color="auto" w:fill="auto"/>
            <w:tcMar>
              <w:top w:w="100" w:type="dxa"/>
              <w:left w:w="100" w:type="dxa"/>
              <w:bottom w:w="100" w:type="dxa"/>
              <w:right w:w="100" w:type="dxa"/>
            </w:tcMar>
          </w:tcPr>
          <w:p w14:paraId="3020F37C" w14:textId="77777777" w:rsidR="00F27CC9" w:rsidRDefault="00353DB6">
            <w:pPr>
              <w:widowControl w:val="0"/>
              <w:spacing w:after="0" w:line="240" w:lineRule="auto"/>
              <w:jc w:val="center"/>
              <w:rPr>
                <w:rFonts w:ascii="Arial" w:eastAsia="Arial" w:hAnsi="Arial" w:cs="Arial"/>
                <w:sz w:val="18"/>
                <w:szCs w:val="18"/>
              </w:rPr>
            </w:pPr>
            <w:bookmarkStart w:id="9" w:name="_2s8eyo1" w:colFirst="0" w:colLast="0"/>
            <w:bookmarkEnd w:id="9"/>
            <w:r>
              <w:rPr>
                <w:rFonts w:ascii="Arial" w:eastAsia="Arial" w:hAnsi="Arial" w:cs="Arial"/>
                <w:sz w:val="18"/>
                <w:szCs w:val="18"/>
              </w:rPr>
              <w:t xml:space="preserve">Call-Off Optional Extension Period </w:t>
            </w:r>
          </w:p>
        </w:tc>
        <w:tc>
          <w:tcPr>
            <w:tcW w:w="1324" w:type="dxa"/>
            <w:shd w:val="clear" w:color="auto" w:fill="auto"/>
            <w:tcMar>
              <w:top w:w="100" w:type="dxa"/>
              <w:left w:w="100" w:type="dxa"/>
              <w:bottom w:w="100" w:type="dxa"/>
              <w:right w:w="100" w:type="dxa"/>
            </w:tcMar>
          </w:tcPr>
          <w:p w14:paraId="7B29B522" w14:textId="77777777" w:rsidR="00F27CC9" w:rsidRDefault="00353DB6">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New Call-Off Contract signed by Buyer(s), where required, prior to the Framework Expiry Date</w:t>
            </w:r>
          </w:p>
        </w:tc>
      </w:tr>
    </w:tbl>
    <w:p w14:paraId="2979D033" w14:textId="77777777" w:rsidR="00F27CC9" w:rsidRDefault="00F27CC9">
      <w:pPr>
        <w:rPr>
          <w:rFonts w:ascii="Arial" w:eastAsia="Arial" w:hAnsi="Arial" w:cs="Arial"/>
          <w:sz w:val="24"/>
          <w:szCs w:val="24"/>
        </w:rPr>
      </w:pPr>
    </w:p>
    <w:p w14:paraId="4134FF02" w14:textId="77777777" w:rsidR="00F27CC9" w:rsidRDefault="00353DB6" w:rsidP="003755D5">
      <w:pPr>
        <w:keepNext/>
        <w:numPr>
          <w:ilvl w:val="0"/>
          <w:numId w:val="4"/>
        </w:numPr>
        <w:tabs>
          <w:tab w:val="left" w:pos="720"/>
        </w:tabs>
        <w:spacing w:before="240" w:after="240" w:line="240" w:lineRule="auto"/>
        <w:ind w:left="1080"/>
        <w:jc w:val="both"/>
        <w:rPr>
          <w:rFonts w:ascii="Arial Bold" w:eastAsia="Arial Bold" w:hAnsi="Arial Bold" w:cs="Arial Bold"/>
          <w:b/>
          <w:sz w:val="24"/>
          <w:szCs w:val="24"/>
        </w:rPr>
      </w:pPr>
      <w:r>
        <w:rPr>
          <w:rFonts w:ascii="Arial Bold" w:eastAsia="Arial Bold" w:hAnsi="Arial Bold" w:cs="Arial Bold"/>
          <w:b/>
          <w:sz w:val="24"/>
          <w:szCs w:val="24"/>
        </w:rPr>
        <w:t>Lot 1 PSN DNS Services Framework Prices</w:t>
      </w:r>
    </w:p>
    <w:p w14:paraId="2927B855" w14:textId="77777777" w:rsidR="00F27CC9" w:rsidRDefault="00353DB6">
      <w:pPr>
        <w:rPr>
          <w:rFonts w:ascii="Arial" w:eastAsia="Arial" w:hAnsi="Arial" w:cs="Arial"/>
          <w:b/>
        </w:rPr>
      </w:pPr>
      <w:r>
        <w:rPr>
          <w:rFonts w:ascii="Arial" w:eastAsia="Arial" w:hAnsi="Arial" w:cs="Arial"/>
          <w:b/>
        </w:rPr>
        <w:t xml:space="preserve">[Note: </w:t>
      </w:r>
      <w:r>
        <w:rPr>
          <w:rFonts w:ascii="Arial" w:eastAsia="Arial" w:hAnsi="Arial" w:cs="Arial"/>
        </w:rPr>
        <w:t>The Tables 2 to 5 below will be populated with the successful Supplier’s tender response for Lot 1</w:t>
      </w:r>
      <w:r>
        <w:rPr>
          <w:rFonts w:ascii="Arial" w:eastAsia="Arial" w:hAnsi="Arial" w:cs="Arial"/>
          <w:b/>
        </w:rPr>
        <w:t>]</w:t>
      </w:r>
    </w:p>
    <w:p w14:paraId="73D76F17" w14:textId="77777777" w:rsidR="00F27CC9" w:rsidRDefault="00353DB6">
      <w:pPr>
        <w:rPr>
          <w:rFonts w:ascii="Arial" w:eastAsia="Arial" w:hAnsi="Arial" w:cs="Arial"/>
          <w:b/>
        </w:rPr>
      </w:pPr>
      <w:r>
        <w:rPr>
          <w:rFonts w:ascii="Arial" w:eastAsia="Arial" w:hAnsi="Arial" w:cs="Arial"/>
          <w:b/>
        </w:rPr>
        <w:t>Table 2</w:t>
      </w:r>
    </w:p>
    <w:tbl>
      <w:tblPr>
        <w:tblStyle w:val="a1"/>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1"/>
        <w:gridCol w:w="6359"/>
        <w:gridCol w:w="1845"/>
      </w:tblGrid>
      <w:tr w:rsidR="00F27CC9" w14:paraId="632C59A6" w14:textId="77777777">
        <w:trPr>
          <w:trHeight w:val="420"/>
        </w:trPr>
        <w:tc>
          <w:tcPr>
            <w:tcW w:w="7200" w:type="dxa"/>
            <w:gridSpan w:val="2"/>
            <w:shd w:val="clear" w:color="auto" w:fill="CCCCCC"/>
            <w:tcMar>
              <w:top w:w="100" w:type="dxa"/>
              <w:left w:w="100" w:type="dxa"/>
              <w:bottom w:w="100" w:type="dxa"/>
              <w:right w:w="100" w:type="dxa"/>
            </w:tcMar>
          </w:tcPr>
          <w:p w14:paraId="2ACDB9DF"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1 DNS Services - Set up price (AQD1 - AQD2)</w:t>
            </w:r>
          </w:p>
          <w:p w14:paraId="316064DF" w14:textId="77777777" w:rsidR="00F27CC9" w:rsidRDefault="00F27CC9">
            <w:pPr>
              <w:widowControl w:val="0"/>
              <w:spacing w:after="0" w:line="240" w:lineRule="auto"/>
              <w:rPr>
                <w:rFonts w:ascii="Arial" w:eastAsia="Arial" w:hAnsi="Arial" w:cs="Arial"/>
                <w:b/>
                <w:sz w:val="20"/>
                <w:szCs w:val="20"/>
              </w:rPr>
            </w:pPr>
          </w:p>
        </w:tc>
        <w:tc>
          <w:tcPr>
            <w:tcW w:w="1845" w:type="dxa"/>
            <w:shd w:val="clear" w:color="auto" w:fill="CCCCCC"/>
            <w:tcMar>
              <w:top w:w="100" w:type="dxa"/>
              <w:left w:w="100" w:type="dxa"/>
              <w:bottom w:w="100" w:type="dxa"/>
              <w:right w:w="100" w:type="dxa"/>
            </w:tcMar>
          </w:tcPr>
          <w:p w14:paraId="5A0A9614" w14:textId="77777777" w:rsidR="00F27CC9" w:rsidRDefault="00F27CC9">
            <w:pPr>
              <w:widowControl w:val="0"/>
              <w:spacing w:after="0" w:line="240" w:lineRule="auto"/>
              <w:rPr>
                <w:rFonts w:ascii="Arial" w:eastAsia="Arial" w:hAnsi="Arial" w:cs="Arial"/>
                <w:sz w:val="20"/>
                <w:szCs w:val="20"/>
              </w:rPr>
            </w:pPr>
          </w:p>
        </w:tc>
      </w:tr>
      <w:tr w:rsidR="00F27CC9" w14:paraId="6A4F4FD1" w14:textId="77777777">
        <w:trPr>
          <w:trHeight w:val="400"/>
        </w:trPr>
        <w:tc>
          <w:tcPr>
            <w:tcW w:w="841" w:type="dxa"/>
            <w:shd w:val="clear" w:color="auto" w:fill="D9EAD3"/>
            <w:tcMar>
              <w:top w:w="100" w:type="dxa"/>
              <w:left w:w="100" w:type="dxa"/>
              <w:bottom w:w="100" w:type="dxa"/>
              <w:right w:w="100" w:type="dxa"/>
            </w:tcMar>
          </w:tcPr>
          <w:p w14:paraId="37783416"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w:t>
            </w:r>
          </w:p>
        </w:tc>
        <w:tc>
          <w:tcPr>
            <w:tcW w:w="6359" w:type="dxa"/>
            <w:shd w:val="clear" w:color="auto" w:fill="D9EAD3"/>
            <w:tcMar>
              <w:top w:w="100" w:type="dxa"/>
              <w:left w:w="100" w:type="dxa"/>
              <w:bottom w:w="100" w:type="dxa"/>
              <w:right w:w="100" w:type="dxa"/>
            </w:tcMar>
          </w:tcPr>
          <w:p w14:paraId="1972F05C"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Set up price per annum (£00.00 p.a.)</w:t>
            </w:r>
          </w:p>
          <w:p w14:paraId="697BAE05" w14:textId="77777777" w:rsidR="00F27CC9" w:rsidRDefault="00353DB6">
            <w:pPr>
              <w:spacing w:after="0"/>
              <w:rPr>
                <w:rFonts w:ascii="Arial" w:eastAsia="Arial" w:hAnsi="Arial" w:cs="Arial"/>
                <w:sz w:val="20"/>
                <w:szCs w:val="20"/>
              </w:rPr>
            </w:pPr>
            <w:r>
              <w:rPr>
                <w:rFonts w:ascii="Arial" w:eastAsia="Arial" w:hAnsi="Arial" w:cs="Arial"/>
                <w:sz w:val="20"/>
                <w:szCs w:val="20"/>
              </w:rPr>
              <w:t>The set up price recovered per annum in the first two years of service delivery Y1 and Y2.</w:t>
            </w:r>
          </w:p>
        </w:tc>
        <w:tc>
          <w:tcPr>
            <w:tcW w:w="1845" w:type="dxa"/>
            <w:shd w:val="clear" w:color="auto" w:fill="auto"/>
            <w:tcMar>
              <w:top w:w="100" w:type="dxa"/>
              <w:left w:w="100" w:type="dxa"/>
              <w:bottom w:w="100" w:type="dxa"/>
              <w:right w:w="100" w:type="dxa"/>
            </w:tcMar>
          </w:tcPr>
          <w:p w14:paraId="48CFE349" w14:textId="77777777" w:rsidR="00F27CC9" w:rsidRDefault="00F27CC9">
            <w:pPr>
              <w:widowControl w:val="0"/>
              <w:spacing w:after="0" w:line="240" w:lineRule="auto"/>
              <w:rPr>
                <w:rFonts w:ascii="Arial" w:eastAsia="Arial" w:hAnsi="Arial" w:cs="Arial"/>
                <w:sz w:val="20"/>
                <w:szCs w:val="20"/>
              </w:rPr>
            </w:pPr>
          </w:p>
        </w:tc>
      </w:tr>
      <w:tr w:rsidR="00F27CC9" w14:paraId="36E84BE7" w14:textId="77777777">
        <w:trPr>
          <w:trHeight w:val="400"/>
        </w:trPr>
        <w:tc>
          <w:tcPr>
            <w:tcW w:w="841" w:type="dxa"/>
            <w:shd w:val="clear" w:color="auto" w:fill="D9EAD3"/>
            <w:tcMar>
              <w:top w:w="100" w:type="dxa"/>
              <w:left w:w="100" w:type="dxa"/>
              <w:bottom w:w="100" w:type="dxa"/>
              <w:right w:w="100" w:type="dxa"/>
            </w:tcMar>
          </w:tcPr>
          <w:p w14:paraId="7FB5FF2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AQD2</w:t>
            </w:r>
          </w:p>
        </w:tc>
        <w:tc>
          <w:tcPr>
            <w:tcW w:w="6359" w:type="dxa"/>
            <w:shd w:val="clear" w:color="auto" w:fill="D9EAD3"/>
            <w:tcMar>
              <w:top w:w="100" w:type="dxa"/>
              <w:left w:w="100" w:type="dxa"/>
              <w:bottom w:w="100" w:type="dxa"/>
              <w:right w:w="100" w:type="dxa"/>
            </w:tcMar>
          </w:tcPr>
          <w:p w14:paraId="04099F03" w14:textId="77777777" w:rsidR="00F27CC9" w:rsidRDefault="00353DB6">
            <w:pPr>
              <w:spacing w:after="0"/>
              <w:rPr>
                <w:rFonts w:ascii="Arial" w:eastAsia="Arial" w:hAnsi="Arial" w:cs="Arial"/>
                <w:b/>
                <w:sz w:val="20"/>
                <w:szCs w:val="20"/>
              </w:rPr>
            </w:pPr>
            <w:r>
              <w:rPr>
                <w:rFonts w:ascii="Arial" w:eastAsia="Arial" w:hAnsi="Arial" w:cs="Arial"/>
                <w:b/>
                <w:sz w:val="20"/>
                <w:szCs w:val="20"/>
              </w:rPr>
              <w:t>Cost of financing percentage (0.00%)</w:t>
            </w:r>
          </w:p>
          <w:p w14:paraId="0025D9AF" w14:textId="77777777" w:rsidR="00F27CC9" w:rsidRDefault="00353DB6">
            <w:pPr>
              <w:spacing w:after="0"/>
              <w:rPr>
                <w:rFonts w:ascii="Arial" w:eastAsia="Arial" w:hAnsi="Arial" w:cs="Arial"/>
                <w:sz w:val="20"/>
                <w:szCs w:val="20"/>
              </w:rPr>
            </w:pPr>
            <w:r>
              <w:rPr>
                <w:rFonts w:ascii="Arial" w:eastAsia="Arial" w:hAnsi="Arial" w:cs="Arial"/>
                <w:sz w:val="20"/>
                <w:szCs w:val="20"/>
              </w:rPr>
              <w:t xml:space="preserve">The percentage of the per annum set up price provided in response to </w:t>
            </w:r>
            <w:r>
              <w:rPr>
                <w:rFonts w:ascii="Arial" w:eastAsia="Arial" w:hAnsi="Arial" w:cs="Arial"/>
                <w:b/>
                <w:sz w:val="20"/>
                <w:szCs w:val="20"/>
              </w:rPr>
              <w:t>AQD1</w:t>
            </w:r>
            <w:r>
              <w:rPr>
                <w:rFonts w:ascii="Arial" w:eastAsia="Arial" w:hAnsi="Arial" w:cs="Arial"/>
                <w:sz w:val="20"/>
                <w:szCs w:val="20"/>
              </w:rPr>
              <w:t xml:space="preserve"> attributed to the cost of financing due to the recovery of the set up price during the first two years of service delivery Y1 and Y2.</w:t>
            </w:r>
          </w:p>
        </w:tc>
        <w:tc>
          <w:tcPr>
            <w:tcW w:w="1845" w:type="dxa"/>
            <w:shd w:val="clear" w:color="auto" w:fill="auto"/>
            <w:tcMar>
              <w:top w:w="100" w:type="dxa"/>
              <w:left w:w="100" w:type="dxa"/>
              <w:bottom w:w="100" w:type="dxa"/>
              <w:right w:w="100" w:type="dxa"/>
            </w:tcMar>
          </w:tcPr>
          <w:p w14:paraId="471CCCC4" w14:textId="77777777" w:rsidR="00F27CC9" w:rsidRDefault="00F27CC9">
            <w:pPr>
              <w:widowControl w:val="0"/>
              <w:spacing w:after="0" w:line="240" w:lineRule="auto"/>
              <w:rPr>
                <w:rFonts w:ascii="Arial" w:eastAsia="Arial" w:hAnsi="Arial" w:cs="Arial"/>
                <w:sz w:val="20"/>
                <w:szCs w:val="20"/>
              </w:rPr>
            </w:pPr>
          </w:p>
        </w:tc>
      </w:tr>
    </w:tbl>
    <w:p w14:paraId="771E37E8" w14:textId="77777777" w:rsidR="009978E6" w:rsidRDefault="009978E6">
      <w:pPr>
        <w:spacing w:after="0"/>
        <w:rPr>
          <w:rFonts w:ascii="Arial" w:eastAsia="Arial" w:hAnsi="Arial" w:cs="Arial"/>
          <w:b/>
        </w:rPr>
      </w:pPr>
    </w:p>
    <w:p w14:paraId="08B4B6D6" w14:textId="77777777" w:rsidR="00F27CC9" w:rsidRDefault="00353DB6">
      <w:pPr>
        <w:spacing w:after="0"/>
        <w:rPr>
          <w:rFonts w:ascii="Arial" w:eastAsia="Arial" w:hAnsi="Arial" w:cs="Arial"/>
          <w:b/>
        </w:rPr>
      </w:pPr>
      <w:r>
        <w:rPr>
          <w:rFonts w:ascii="Arial" w:eastAsia="Arial" w:hAnsi="Arial" w:cs="Arial"/>
          <w:b/>
        </w:rPr>
        <w:lastRenderedPageBreak/>
        <w:t>Table 3</w:t>
      </w:r>
    </w:p>
    <w:p w14:paraId="17D6E206" w14:textId="77777777" w:rsidR="00F27CC9" w:rsidRDefault="00F27CC9">
      <w:pPr>
        <w:spacing w:after="0"/>
        <w:rPr>
          <w:rFonts w:ascii="Arial" w:eastAsia="Arial" w:hAnsi="Arial" w:cs="Arial"/>
          <w:b/>
        </w:rPr>
      </w:pPr>
    </w:p>
    <w:tbl>
      <w:tblPr>
        <w:tblStyle w:val="a2"/>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596"/>
        <w:gridCol w:w="1324"/>
        <w:gridCol w:w="661"/>
        <w:gridCol w:w="1349"/>
        <w:gridCol w:w="635"/>
        <w:gridCol w:w="1375"/>
        <w:gridCol w:w="610"/>
        <w:gridCol w:w="1400"/>
      </w:tblGrid>
      <w:tr w:rsidR="00F27CC9" w14:paraId="509FBF6A" w14:textId="77777777">
        <w:trPr>
          <w:trHeight w:val="420"/>
        </w:trPr>
        <w:tc>
          <w:tcPr>
            <w:tcW w:w="9045" w:type="dxa"/>
            <w:gridSpan w:val="9"/>
            <w:shd w:val="clear" w:color="auto" w:fill="CCCCCC"/>
            <w:tcMar>
              <w:top w:w="100" w:type="dxa"/>
              <w:left w:w="100" w:type="dxa"/>
              <w:bottom w:w="100" w:type="dxa"/>
              <w:right w:w="100" w:type="dxa"/>
            </w:tcMar>
          </w:tcPr>
          <w:p w14:paraId="29A9AF16"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Lot 1 DNS Services - Service running price (AQD3 - AQD14)</w:t>
            </w:r>
          </w:p>
          <w:p w14:paraId="6DAEAD97" w14:textId="77777777" w:rsidR="00F27CC9" w:rsidRDefault="00F27CC9">
            <w:pPr>
              <w:widowControl w:val="0"/>
              <w:pBdr>
                <w:top w:val="nil"/>
                <w:left w:val="nil"/>
                <w:bottom w:val="nil"/>
                <w:right w:val="nil"/>
                <w:between w:val="nil"/>
              </w:pBdr>
              <w:spacing w:after="0" w:line="240" w:lineRule="auto"/>
              <w:rPr>
                <w:rFonts w:ascii="Arial" w:eastAsia="Arial" w:hAnsi="Arial" w:cs="Arial"/>
                <w:b/>
                <w:sz w:val="20"/>
                <w:szCs w:val="20"/>
              </w:rPr>
            </w:pPr>
          </w:p>
          <w:p w14:paraId="6146687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Y1Y2 annual running price per annum for Y1 and Y2 (£00.00 p.a.)</w:t>
            </w:r>
          </w:p>
          <w:p w14:paraId="6521E183"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Y3 annual running price per annum for Y3 (£00.00 p.a.)</w:t>
            </w:r>
          </w:p>
          <w:p w14:paraId="5FD54158" w14:textId="77777777" w:rsidR="00F27CC9" w:rsidRDefault="00353DB6">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Y4 annual running price per annum for Y4 (£00.00 p.a.)</w:t>
            </w:r>
          </w:p>
          <w:p w14:paraId="1338B63F" w14:textId="77777777" w:rsidR="00F27CC9" w:rsidRDefault="00F27CC9">
            <w:pPr>
              <w:widowControl w:val="0"/>
              <w:pBdr>
                <w:top w:val="nil"/>
                <w:left w:val="nil"/>
                <w:bottom w:val="nil"/>
                <w:right w:val="nil"/>
                <w:between w:val="nil"/>
              </w:pBdr>
              <w:spacing w:after="0" w:line="240" w:lineRule="auto"/>
              <w:rPr>
                <w:rFonts w:ascii="Arial" w:eastAsia="Arial" w:hAnsi="Arial" w:cs="Arial"/>
                <w:sz w:val="20"/>
                <w:szCs w:val="20"/>
              </w:rPr>
            </w:pPr>
          </w:p>
          <w:p w14:paraId="01B44A3C" w14:textId="77777777" w:rsidR="00F27CC9" w:rsidRDefault="00353DB6">
            <w:pPr>
              <w:widowControl w:val="0"/>
              <w:pBdr>
                <w:top w:val="nil"/>
                <w:left w:val="nil"/>
                <w:bottom w:val="nil"/>
                <w:right w:val="nil"/>
                <w:between w:val="nil"/>
              </w:pBdr>
              <w:spacing w:after="0" w:line="240" w:lineRule="auto"/>
              <w:rPr>
                <w:rFonts w:ascii="Arial" w:eastAsia="Arial" w:hAnsi="Arial" w:cs="Arial"/>
                <w:sz w:val="20"/>
                <w:szCs w:val="20"/>
              </w:rPr>
            </w:pPr>
            <w:r>
              <w:rPr>
                <w:rFonts w:ascii="Arial" w:eastAsia="Arial" w:hAnsi="Arial" w:cs="Arial"/>
                <w:sz w:val="20"/>
                <w:szCs w:val="20"/>
              </w:rPr>
              <w:t>The annual running price of the service including service improvement such as hardware and/or software upgrades required to maintain the service to meet the requirements of the specification as detailed in Framework Schedule 1, for example, PSN DNS Service requirement SEC-18 “The PSN DNS Service must evolve to mitigate any existing and emerging DNS threats”.</w:t>
            </w:r>
          </w:p>
          <w:p w14:paraId="7C908DE0" w14:textId="77777777" w:rsidR="00F27CC9" w:rsidRDefault="00F27CC9">
            <w:pPr>
              <w:widowControl w:val="0"/>
              <w:pBdr>
                <w:top w:val="nil"/>
                <w:left w:val="nil"/>
                <w:bottom w:val="nil"/>
                <w:right w:val="nil"/>
                <w:between w:val="nil"/>
              </w:pBdr>
              <w:spacing w:after="0" w:line="240" w:lineRule="auto"/>
              <w:rPr>
                <w:rFonts w:ascii="Arial" w:eastAsia="Arial" w:hAnsi="Arial" w:cs="Arial"/>
                <w:sz w:val="20"/>
                <w:szCs w:val="20"/>
              </w:rPr>
            </w:pPr>
          </w:p>
        </w:tc>
      </w:tr>
      <w:tr w:rsidR="00F27CC9" w14:paraId="752522C2" w14:textId="77777777">
        <w:trPr>
          <w:trHeight w:val="400"/>
        </w:trPr>
        <w:tc>
          <w:tcPr>
            <w:tcW w:w="1095" w:type="dxa"/>
            <w:shd w:val="clear" w:color="auto" w:fill="D9EAD3"/>
            <w:tcMar>
              <w:top w:w="100" w:type="dxa"/>
              <w:left w:w="100" w:type="dxa"/>
              <w:bottom w:w="100" w:type="dxa"/>
              <w:right w:w="100" w:type="dxa"/>
            </w:tcMar>
          </w:tcPr>
          <w:p w14:paraId="1B7F2BC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Delivery Year</w:t>
            </w:r>
          </w:p>
        </w:tc>
        <w:tc>
          <w:tcPr>
            <w:tcW w:w="1920" w:type="dxa"/>
            <w:gridSpan w:val="2"/>
            <w:shd w:val="clear" w:color="auto" w:fill="D9EAD3"/>
            <w:tcMar>
              <w:top w:w="100" w:type="dxa"/>
              <w:left w:w="100" w:type="dxa"/>
              <w:bottom w:w="100" w:type="dxa"/>
              <w:right w:w="100" w:type="dxa"/>
            </w:tcMar>
          </w:tcPr>
          <w:p w14:paraId="78BF9588" w14:textId="19159586"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15,000 queries per second</w:t>
            </w:r>
          </w:p>
        </w:tc>
        <w:tc>
          <w:tcPr>
            <w:tcW w:w="2010" w:type="dxa"/>
            <w:gridSpan w:val="2"/>
            <w:shd w:val="clear" w:color="auto" w:fill="D9EAD3"/>
            <w:tcMar>
              <w:top w:w="100" w:type="dxa"/>
              <w:left w:w="100" w:type="dxa"/>
              <w:bottom w:w="100" w:type="dxa"/>
              <w:right w:w="100" w:type="dxa"/>
            </w:tcMar>
          </w:tcPr>
          <w:p w14:paraId="68D8889A" w14:textId="6C1606F9"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7</w:t>
            </w:r>
            <w:r w:rsidR="00353DB6">
              <w:rPr>
                <w:rFonts w:ascii="Arial" w:eastAsia="Arial" w:hAnsi="Arial" w:cs="Arial"/>
                <w:b/>
                <w:sz w:val="20"/>
                <w:szCs w:val="20"/>
                <w:shd w:val="clear" w:color="auto" w:fill="D6E3BC"/>
              </w:rPr>
              <w:t>,500 queries per second</w:t>
            </w:r>
          </w:p>
        </w:tc>
        <w:tc>
          <w:tcPr>
            <w:tcW w:w="2010" w:type="dxa"/>
            <w:gridSpan w:val="2"/>
            <w:shd w:val="clear" w:color="auto" w:fill="D9EAD3"/>
            <w:tcMar>
              <w:top w:w="100" w:type="dxa"/>
              <w:left w:w="100" w:type="dxa"/>
              <w:bottom w:w="100" w:type="dxa"/>
              <w:right w:w="100" w:type="dxa"/>
            </w:tcMar>
          </w:tcPr>
          <w:p w14:paraId="55FD6212" w14:textId="241681BC"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3,000 queries per second</w:t>
            </w:r>
          </w:p>
        </w:tc>
        <w:tc>
          <w:tcPr>
            <w:tcW w:w="2010" w:type="dxa"/>
            <w:gridSpan w:val="2"/>
            <w:shd w:val="clear" w:color="auto" w:fill="D9EAD3"/>
            <w:tcMar>
              <w:top w:w="100" w:type="dxa"/>
              <w:left w:w="100" w:type="dxa"/>
              <w:bottom w:w="100" w:type="dxa"/>
              <w:right w:w="100" w:type="dxa"/>
            </w:tcMar>
          </w:tcPr>
          <w:p w14:paraId="74A83C7B" w14:textId="0E7BC5C4" w:rsidR="00F27CC9" w:rsidRDefault="00832A5E">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1,500 queries per second</w:t>
            </w:r>
          </w:p>
        </w:tc>
      </w:tr>
      <w:tr w:rsidR="00F27CC9" w14:paraId="342F3462" w14:textId="77777777">
        <w:trPr>
          <w:trHeight w:val="380"/>
        </w:trPr>
        <w:tc>
          <w:tcPr>
            <w:tcW w:w="1095" w:type="dxa"/>
            <w:shd w:val="clear" w:color="auto" w:fill="D9EAD3"/>
            <w:tcMar>
              <w:top w:w="100" w:type="dxa"/>
              <w:left w:w="100" w:type="dxa"/>
              <w:bottom w:w="100" w:type="dxa"/>
              <w:right w:w="100" w:type="dxa"/>
            </w:tcMar>
          </w:tcPr>
          <w:p w14:paraId="2CB351D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Y1Y2</w:t>
            </w:r>
          </w:p>
          <w:p w14:paraId="76580F41"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2B4E228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AQD3</w:t>
            </w:r>
          </w:p>
        </w:tc>
        <w:tc>
          <w:tcPr>
            <w:tcW w:w="1324" w:type="dxa"/>
            <w:tcMar>
              <w:top w:w="100" w:type="dxa"/>
              <w:left w:w="100" w:type="dxa"/>
              <w:bottom w:w="100" w:type="dxa"/>
              <w:right w:w="100" w:type="dxa"/>
            </w:tcMar>
          </w:tcPr>
          <w:p w14:paraId="6F8E8C4C" w14:textId="77777777" w:rsidR="00F27CC9" w:rsidRDefault="00F27CC9">
            <w:pPr>
              <w:widowControl w:val="0"/>
              <w:spacing w:after="0" w:line="240" w:lineRule="auto"/>
              <w:rPr>
                <w:rFonts w:ascii="Arial" w:eastAsia="Arial" w:hAnsi="Arial" w:cs="Arial"/>
                <w:b/>
                <w:sz w:val="20"/>
                <w:szCs w:val="20"/>
              </w:rPr>
            </w:pPr>
          </w:p>
        </w:tc>
        <w:tc>
          <w:tcPr>
            <w:tcW w:w="661" w:type="dxa"/>
            <w:shd w:val="clear" w:color="auto" w:fill="D9EAD3"/>
            <w:tcMar>
              <w:top w:w="100" w:type="dxa"/>
              <w:left w:w="100" w:type="dxa"/>
              <w:bottom w:w="100" w:type="dxa"/>
              <w:right w:w="100" w:type="dxa"/>
            </w:tcMar>
          </w:tcPr>
          <w:p w14:paraId="4AA92CD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572AA11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D4</w:t>
            </w:r>
          </w:p>
        </w:tc>
        <w:tc>
          <w:tcPr>
            <w:tcW w:w="1349" w:type="dxa"/>
            <w:shd w:val="clear" w:color="auto" w:fill="auto"/>
          </w:tcPr>
          <w:p w14:paraId="19735098" w14:textId="77777777" w:rsidR="00F27CC9" w:rsidRDefault="00F27CC9">
            <w:pPr>
              <w:widowControl w:val="0"/>
              <w:spacing w:after="0" w:line="240" w:lineRule="auto"/>
              <w:rPr>
                <w:rFonts w:ascii="Arial" w:eastAsia="Arial" w:hAnsi="Arial" w:cs="Arial"/>
                <w:sz w:val="20"/>
                <w:szCs w:val="20"/>
              </w:rPr>
            </w:pPr>
          </w:p>
        </w:tc>
        <w:tc>
          <w:tcPr>
            <w:tcW w:w="635" w:type="dxa"/>
            <w:shd w:val="clear" w:color="auto" w:fill="D9EAD3"/>
            <w:tcMar>
              <w:top w:w="100" w:type="dxa"/>
              <w:left w:w="100" w:type="dxa"/>
              <w:bottom w:w="100" w:type="dxa"/>
              <w:right w:w="100" w:type="dxa"/>
            </w:tcMar>
          </w:tcPr>
          <w:p w14:paraId="77E78B24"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AQD5</w:t>
            </w:r>
          </w:p>
        </w:tc>
        <w:tc>
          <w:tcPr>
            <w:tcW w:w="1375" w:type="dxa"/>
            <w:shd w:val="clear" w:color="auto" w:fill="auto"/>
          </w:tcPr>
          <w:p w14:paraId="08D1DF90" w14:textId="77777777" w:rsidR="00F27CC9" w:rsidRDefault="00F27CC9">
            <w:pPr>
              <w:widowControl w:val="0"/>
              <w:spacing w:after="0" w:line="240" w:lineRule="auto"/>
              <w:rPr>
                <w:rFonts w:ascii="Arial" w:eastAsia="Arial" w:hAnsi="Arial" w:cs="Arial"/>
                <w:sz w:val="20"/>
                <w:szCs w:val="20"/>
              </w:rPr>
            </w:pPr>
          </w:p>
        </w:tc>
        <w:tc>
          <w:tcPr>
            <w:tcW w:w="610" w:type="dxa"/>
            <w:shd w:val="clear" w:color="auto" w:fill="D9EAD3"/>
            <w:tcMar>
              <w:top w:w="100" w:type="dxa"/>
              <w:left w:w="100" w:type="dxa"/>
              <w:bottom w:w="100" w:type="dxa"/>
              <w:right w:w="100" w:type="dxa"/>
            </w:tcMar>
          </w:tcPr>
          <w:p w14:paraId="767A57F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AQD6</w:t>
            </w:r>
          </w:p>
        </w:tc>
        <w:tc>
          <w:tcPr>
            <w:tcW w:w="1400" w:type="dxa"/>
            <w:shd w:val="clear" w:color="auto" w:fill="auto"/>
          </w:tcPr>
          <w:p w14:paraId="4E8DE24B" w14:textId="77777777" w:rsidR="00F27CC9" w:rsidRDefault="00F27CC9">
            <w:pPr>
              <w:widowControl w:val="0"/>
              <w:spacing w:after="0" w:line="240" w:lineRule="auto"/>
              <w:rPr>
                <w:rFonts w:ascii="Arial" w:eastAsia="Arial" w:hAnsi="Arial" w:cs="Arial"/>
                <w:sz w:val="20"/>
                <w:szCs w:val="20"/>
              </w:rPr>
            </w:pPr>
          </w:p>
        </w:tc>
      </w:tr>
      <w:tr w:rsidR="00F27CC9" w14:paraId="6001A954" w14:textId="77777777">
        <w:tc>
          <w:tcPr>
            <w:tcW w:w="1095" w:type="dxa"/>
            <w:shd w:val="clear" w:color="auto" w:fill="D9EAD3"/>
            <w:tcMar>
              <w:top w:w="100" w:type="dxa"/>
              <w:left w:w="100" w:type="dxa"/>
              <w:bottom w:w="100" w:type="dxa"/>
              <w:right w:w="100" w:type="dxa"/>
            </w:tcMar>
          </w:tcPr>
          <w:p w14:paraId="11F964F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 xml:space="preserve">Y3 </w:t>
            </w:r>
          </w:p>
          <w:p w14:paraId="27A38857"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47B229F4"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AQD7</w:t>
            </w:r>
          </w:p>
        </w:tc>
        <w:tc>
          <w:tcPr>
            <w:tcW w:w="1324" w:type="dxa"/>
            <w:tcMar>
              <w:top w:w="100" w:type="dxa"/>
              <w:left w:w="100" w:type="dxa"/>
              <w:bottom w:w="100" w:type="dxa"/>
              <w:right w:w="100" w:type="dxa"/>
            </w:tcMar>
          </w:tcPr>
          <w:p w14:paraId="19003FE6" w14:textId="77777777" w:rsidR="00F27CC9" w:rsidRDefault="00F27CC9">
            <w:pPr>
              <w:widowControl w:val="0"/>
              <w:spacing w:after="0" w:line="240" w:lineRule="auto"/>
              <w:rPr>
                <w:rFonts w:ascii="Arial" w:eastAsia="Arial" w:hAnsi="Arial" w:cs="Arial"/>
                <w:sz w:val="20"/>
                <w:szCs w:val="20"/>
              </w:rPr>
            </w:pPr>
          </w:p>
        </w:tc>
        <w:tc>
          <w:tcPr>
            <w:tcW w:w="661" w:type="dxa"/>
            <w:shd w:val="clear" w:color="auto" w:fill="D9EAD3"/>
            <w:tcMar>
              <w:top w:w="100" w:type="dxa"/>
              <w:left w:w="100" w:type="dxa"/>
              <w:bottom w:w="100" w:type="dxa"/>
              <w:right w:w="100" w:type="dxa"/>
            </w:tcMar>
          </w:tcPr>
          <w:p w14:paraId="39A00E4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4C4FBA3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D8</w:t>
            </w:r>
          </w:p>
        </w:tc>
        <w:tc>
          <w:tcPr>
            <w:tcW w:w="1349" w:type="dxa"/>
            <w:tcMar>
              <w:top w:w="100" w:type="dxa"/>
              <w:left w:w="100" w:type="dxa"/>
              <w:bottom w:w="100" w:type="dxa"/>
              <w:right w:w="100" w:type="dxa"/>
            </w:tcMar>
          </w:tcPr>
          <w:p w14:paraId="29A6B6D4" w14:textId="77777777" w:rsidR="00F27CC9" w:rsidRDefault="00F27CC9">
            <w:pPr>
              <w:widowControl w:val="0"/>
              <w:spacing w:after="0" w:line="240" w:lineRule="auto"/>
              <w:rPr>
                <w:rFonts w:ascii="Arial" w:eastAsia="Arial" w:hAnsi="Arial" w:cs="Arial"/>
                <w:sz w:val="20"/>
                <w:szCs w:val="20"/>
              </w:rPr>
            </w:pPr>
          </w:p>
        </w:tc>
        <w:tc>
          <w:tcPr>
            <w:tcW w:w="635" w:type="dxa"/>
            <w:shd w:val="clear" w:color="auto" w:fill="D9EAD3"/>
            <w:tcMar>
              <w:top w:w="100" w:type="dxa"/>
              <w:left w:w="100" w:type="dxa"/>
              <w:bottom w:w="100" w:type="dxa"/>
              <w:right w:w="100" w:type="dxa"/>
            </w:tcMar>
          </w:tcPr>
          <w:p w14:paraId="7BC0B25D"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AQD9</w:t>
            </w:r>
          </w:p>
        </w:tc>
        <w:tc>
          <w:tcPr>
            <w:tcW w:w="1375" w:type="dxa"/>
            <w:tcMar>
              <w:top w:w="100" w:type="dxa"/>
              <w:left w:w="100" w:type="dxa"/>
              <w:bottom w:w="100" w:type="dxa"/>
              <w:right w:w="100" w:type="dxa"/>
            </w:tcMar>
          </w:tcPr>
          <w:p w14:paraId="2A878156" w14:textId="77777777" w:rsidR="00F27CC9" w:rsidRDefault="00F27CC9">
            <w:pPr>
              <w:widowControl w:val="0"/>
              <w:spacing w:after="0" w:line="240" w:lineRule="auto"/>
              <w:rPr>
                <w:rFonts w:ascii="Arial" w:eastAsia="Arial" w:hAnsi="Arial" w:cs="Arial"/>
                <w:sz w:val="20"/>
                <w:szCs w:val="20"/>
              </w:rPr>
            </w:pPr>
          </w:p>
        </w:tc>
        <w:tc>
          <w:tcPr>
            <w:tcW w:w="610" w:type="dxa"/>
            <w:shd w:val="clear" w:color="auto" w:fill="D9EAD3"/>
            <w:tcMar>
              <w:top w:w="100" w:type="dxa"/>
              <w:left w:w="100" w:type="dxa"/>
              <w:bottom w:w="100" w:type="dxa"/>
              <w:right w:w="100" w:type="dxa"/>
            </w:tcMar>
          </w:tcPr>
          <w:p w14:paraId="2B799B48"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7346E73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D10</w:t>
            </w:r>
          </w:p>
        </w:tc>
        <w:tc>
          <w:tcPr>
            <w:tcW w:w="1400" w:type="dxa"/>
            <w:tcMar>
              <w:top w:w="100" w:type="dxa"/>
              <w:left w:w="100" w:type="dxa"/>
              <w:bottom w:w="100" w:type="dxa"/>
              <w:right w:w="100" w:type="dxa"/>
            </w:tcMar>
          </w:tcPr>
          <w:p w14:paraId="0221A69E" w14:textId="77777777" w:rsidR="00F27CC9" w:rsidRDefault="00F27CC9">
            <w:pPr>
              <w:widowControl w:val="0"/>
              <w:spacing w:after="0" w:line="240" w:lineRule="auto"/>
              <w:rPr>
                <w:rFonts w:ascii="Arial" w:eastAsia="Arial" w:hAnsi="Arial" w:cs="Arial"/>
                <w:sz w:val="20"/>
                <w:szCs w:val="20"/>
              </w:rPr>
            </w:pPr>
          </w:p>
        </w:tc>
      </w:tr>
      <w:tr w:rsidR="00F27CC9" w14:paraId="4DC1BEE4" w14:textId="77777777">
        <w:tc>
          <w:tcPr>
            <w:tcW w:w="1095" w:type="dxa"/>
            <w:shd w:val="clear" w:color="auto" w:fill="D9EAD3"/>
            <w:tcMar>
              <w:top w:w="100" w:type="dxa"/>
              <w:left w:w="100" w:type="dxa"/>
              <w:bottom w:w="100" w:type="dxa"/>
              <w:right w:w="100" w:type="dxa"/>
            </w:tcMar>
          </w:tcPr>
          <w:p w14:paraId="3AC9E29F"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Y4</w:t>
            </w:r>
          </w:p>
          <w:p w14:paraId="6E07B5D7"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38D7EF4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AQD11</w:t>
            </w:r>
          </w:p>
        </w:tc>
        <w:tc>
          <w:tcPr>
            <w:tcW w:w="1324" w:type="dxa"/>
            <w:tcMar>
              <w:top w:w="100" w:type="dxa"/>
              <w:left w:w="100" w:type="dxa"/>
              <w:bottom w:w="100" w:type="dxa"/>
              <w:right w:w="100" w:type="dxa"/>
            </w:tcMar>
          </w:tcPr>
          <w:p w14:paraId="4F02EEC6" w14:textId="77777777" w:rsidR="00F27CC9" w:rsidRDefault="00F27CC9">
            <w:pPr>
              <w:widowControl w:val="0"/>
              <w:spacing w:after="0" w:line="240" w:lineRule="auto"/>
              <w:rPr>
                <w:rFonts w:ascii="Arial" w:eastAsia="Arial" w:hAnsi="Arial" w:cs="Arial"/>
                <w:sz w:val="20"/>
                <w:szCs w:val="20"/>
              </w:rPr>
            </w:pPr>
          </w:p>
        </w:tc>
        <w:tc>
          <w:tcPr>
            <w:tcW w:w="661" w:type="dxa"/>
            <w:shd w:val="clear" w:color="auto" w:fill="D9EAD3"/>
            <w:tcMar>
              <w:top w:w="100" w:type="dxa"/>
              <w:left w:w="100" w:type="dxa"/>
              <w:bottom w:w="100" w:type="dxa"/>
              <w:right w:w="100" w:type="dxa"/>
            </w:tcMar>
          </w:tcPr>
          <w:p w14:paraId="3E8F116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119C40DE"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D12</w:t>
            </w:r>
          </w:p>
        </w:tc>
        <w:tc>
          <w:tcPr>
            <w:tcW w:w="1349" w:type="dxa"/>
            <w:tcMar>
              <w:top w:w="100" w:type="dxa"/>
              <w:left w:w="100" w:type="dxa"/>
              <w:bottom w:w="100" w:type="dxa"/>
              <w:right w:w="100" w:type="dxa"/>
            </w:tcMar>
          </w:tcPr>
          <w:p w14:paraId="327135F4" w14:textId="77777777" w:rsidR="00F27CC9" w:rsidRDefault="00F27CC9">
            <w:pPr>
              <w:widowControl w:val="0"/>
              <w:spacing w:after="0" w:line="240" w:lineRule="auto"/>
              <w:rPr>
                <w:rFonts w:ascii="Arial" w:eastAsia="Arial" w:hAnsi="Arial" w:cs="Arial"/>
                <w:sz w:val="20"/>
                <w:szCs w:val="20"/>
              </w:rPr>
            </w:pPr>
          </w:p>
        </w:tc>
        <w:tc>
          <w:tcPr>
            <w:tcW w:w="635" w:type="dxa"/>
            <w:shd w:val="clear" w:color="auto" w:fill="D9EAD3"/>
            <w:tcMar>
              <w:top w:w="100" w:type="dxa"/>
              <w:left w:w="100" w:type="dxa"/>
              <w:bottom w:w="100" w:type="dxa"/>
              <w:right w:w="100" w:type="dxa"/>
            </w:tcMar>
          </w:tcPr>
          <w:p w14:paraId="3C2F990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AQD13</w:t>
            </w:r>
          </w:p>
        </w:tc>
        <w:tc>
          <w:tcPr>
            <w:tcW w:w="1375" w:type="dxa"/>
            <w:tcMar>
              <w:top w:w="100" w:type="dxa"/>
              <w:left w:w="100" w:type="dxa"/>
              <w:bottom w:w="100" w:type="dxa"/>
              <w:right w:w="100" w:type="dxa"/>
            </w:tcMar>
          </w:tcPr>
          <w:p w14:paraId="090F3F2C" w14:textId="77777777" w:rsidR="00F27CC9" w:rsidRDefault="00F27CC9">
            <w:pPr>
              <w:widowControl w:val="0"/>
              <w:spacing w:after="0" w:line="240" w:lineRule="auto"/>
              <w:rPr>
                <w:rFonts w:ascii="Arial" w:eastAsia="Arial" w:hAnsi="Arial" w:cs="Arial"/>
                <w:sz w:val="20"/>
                <w:szCs w:val="20"/>
              </w:rPr>
            </w:pPr>
          </w:p>
        </w:tc>
        <w:tc>
          <w:tcPr>
            <w:tcW w:w="610" w:type="dxa"/>
            <w:shd w:val="clear" w:color="auto" w:fill="D9EAD3"/>
            <w:tcMar>
              <w:top w:w="100" w:type="dxa"/>
              <w:left w:w="100" w:type="dxa"/>
              <w:bottom w:w="100" w:type="dxa"/>
              <w:right w:w="100" w:type="dxa"/>
            </w:tcMar>
          </w:tcPr>
          <w:p w14:paraId="28F73E5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301F9B2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D14</w:t>
            </w:r>
          </w:p>
        </w:tc>
        <w:tc>
          <w:tcPr>
            <w:tcW w:w="1400" w:type="dxa"/>
            <w:tcMar>
              <w:top w:w="100" w:type="dxa"/>
              <w:left w:w="100" w:type="dxa"/>
              <w:bottom w:w="100" w:type="dxa"/>
              <w:right w:w="100" w:type="dxa"/>
            </w:tcMar>
          </w:tcPr>
          <w:p w14:paraId="478ED658" w14:textId="77777777" w:rsidR="00F27CC9" w:rsidRDefault="00F27CC9">
            <w:pPr>
              <w:widowControl w:val="0"/>
              <w:spacing w:after="0" w:line="240" w:lineRule="auto"/>
              <w:rPr>
                <w:rFonts w:ascii="Arial" w:eastAsia="Arial" w:hAnsi="Arial" w:cs="Arial"/>
                <w:sz w:val="20"/>
                <w:szCs w:val="20"/>
              </w:rPr>
            </w:pPr>
          </w:p>
        </w:tc>
      </w:tr>
    </w:tbl>
    <w:p w14:paraId="1CC51143" w14:textId="77777777" w:rsidR="00F27CC9" w:rsidRDefault="00F27CC9">
      <w:pPr>
        <w:spacing w:after="0"/>
        <w:rPr>
          <w:rFonts w:ascii="Arial" w:eastAsia="Arial" w:hAnsi="Arial" w:cs="Arial"/>
        </w:rPr>
      </w:pPr>
    </w:p>
    <w:p w14:paraId="4F340869" w14:textId="77777777" w:rsidR="00F27CC9" w:rsidRDefault="00353DB6">
      <w:pPr>
        <w:spacing w:after="0"/>
        <w:rPr>
          <w:rFonts w:ascii="Arial" w:eastAsia="Arial" w:hAnsi="Arial" w:cs="Arial"/>
          <w:b/>
        </w:rPr>
      </w:pPr>
      <w:r>
        <w:rPr>
          <w:rFonts w:ascii="Arial" w:eastAsia="Arial" w:hAnsi="Arial" w:cs="Arial"/>
          <w:b/>
        </w:rPr>
        <w:t>Table 4</w:t>
      </w:r>
    </w:p>
    <w:p w14:paraId="1A339284" w14:textId="77777777" w:rsidR="00F27CC9" w:rsidRDefault="00F27CC9">
      <w:pPr>
        <w:spacing w:after="0"/>
        <w:rPr>
          <w:rFonts w:ascii="Arial" w:eastAsia="Arial" w:hAnsi="Arial" w:cs="Arial"/>
        </w:rPr>
      </w:pPr>
    </w:p>
    <w:tbl>
      <w:tblPr>
        <w:tblStyle w:val="a3"/>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3"/>
        <w:gridCol w:w="6202"/>
        <w:gridCol w:w="1860"/>
      </w:tblGrid>
      <w:tr w:rsidR="00F27CC9" w14:paraId="31B5108A" w14:textId="77777777">
        <w:trPr>
          <w:trHeight w:val="420"/>
        </w:trPr>
        <w:tc>
          <w:tcPr>
            <w:tcW w:w="7185" w:type="dxa"/>
            <w:gridSpan w:val="2"/>
            <w:shd w:val="clear" w:color="auto" w:fill="CCCCCC"/>
            <w:tcMar>
              <w:top w:w="100" w:type="dxa"/>
              <w:left w:w="100" w:type="dxa"/>
              <w:bottom w:w="100" w:type="dxa"/>
              <w:right w:w="100" w:type="dxa"/>
            </w:tcMar>
          </w:tcPr>
          <w:p w14:paraId="47889AC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1 DNS Services - Service improvement percentage (AQD15 - AQD17)</w:t>
            </w:r>
          </w:p>
          <w:p w14:paraId="5EA6D9C6" w14:textId="77777777" w:rsidR="00F27CC9" w:rsidRDefault="00F27CC9">
            <w:pPr>
              <w:widowControl w:val="0"/>
              <w:spacing w:after="0" w:line="240" w:lineRule="auto"/>
              <w:rPr>
                <w:rFonts w:ascii="Arial" w:eastAsia="Arial" w:hAnsi="Arial" w:cs="Arial"/>
                <w:sz w:val="20"/>
                <w:szCs w:val="20"/>
              </w:rPr>
            </w:pPr>
          </w:p>
        </w:tc>
        <w:tc>
          <w:tcPr>
            <w:tcW w:w="1860" w:type="dxa"/>
            <w:shd w:val="clear" w:color="auto" w:fill="CCCCCC"/>
            <w:tcMar>
              <w:top w:w="100" w:type="dxa"/>
              <w:left w:w="100" w:type="dxa"/>
              <w:bottom w:w="100" w:type="dxa"/>
              <w:right w:w="100" w:type="dxa"/>
            </w:tcMar>
          </w:tcPr>
          <w:p w14:paraId="41FD691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702552FC" w14:textId="77777777">
        <w:trPr>
          <w:trHeight w:val="400"/>
        </w:trPr>
        <w:tc>
          <w:tcPr>
            <w:tcW w:w="983" w:type="dxa"/>
            <w:shd w:val="clear" w:color="auto" w:fill="D9EAD3"/>
            <w:tcMar>
              <w:top w:w="100" w:type="dxa"/>
              <w:left w:w="100" w:type="dxa"/>
              <w:bottom w:w="100" w:type="dxa"/>
              <w:right w:w="100" w:type="dxa"/>
            </w:tcMar>
          </w:tcPr>
          <w:p w14:paraId="0A4843A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AQD15</w:t>
            </w:r>
          </w:p>
        </w:tc>
        <w:tc>
          <w:tcPr>
            <w:tcW w:w="6202" w:type="dxa"/>
            <w:shd w:val="clear" w:color="auto" w:fill="D9EAD3"/>
            <w:tcMar>
              <w:top w:w="100" w:type="dxa"/>
              <w:left w:w="100" w:type="dxa"/>
              <w:bottom w:w="100" w:type="dxa"/>
              <w:right w:w="100" w:type="dxa"/>
            </w:tcMar>
          </w:tcPr>
          <w:p w14:paraId="1158C02E"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Service improvement percentage (0.00%)</w:t>
            </w:r>
          </w:p>
          <w:p w14:paraId="14D15C03"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Y1Y2 annual running price provided in response to AQD3 to AQD6 attributed to the cost of service improvement.</w:t>
            </w:r>
          </w:p>
        </w:tc>
        <w:tc>
          <w:tcPr>
            <w:tcW w:w="1860" w:type="dxa"/>
            <w:shd w:val="clear" w:color="auto" w:fill="auto"/>
            <w:tcMar>
              <w:top w:w="100" w:type="dxa"/>
              <w:left w:w="100" w:type="dxa"/>
              <w:bottom w:w="100" w:type="dxa"/>
              <w:right w:w="100" w:type="dxa"/>
            </w:tcMar>
          </w:tcPr>
          <w:p w14:paraId="3EC39484" w14:textId="77777777" w:rsidR="00F27CC9" w:rsidRDefault="00F27CC9">
            <w:pPr>
              <w:widowControl w:val="0"/>
              <w:spacing w:after="0" w:line="240" w:lineRule="auto"/>
              <w:rPr>
                <w:rFonts w:ascii="Arial" w:eastAsia="Arial" w:hAnsi="Arial" w:cs="Arial"/>
                <w:sz w:val="20"/>
                <w:szCs w:val="20"/>
              </w:rPr>
            </w:pPr>
          </w:p>
        </w:tc>
      </w:tr>
      <w:tr w:rsidR="00F27CC9" w14:paraId="68BEFCB2" w14:textId="77777777">
        <w:trPr>
          <w:trHeight w:val="400"/>
        </w:trPr>
        <w:tc>
          <w:tcPr>
            <w:tcW w:w="983" w:type="dxa"/>
            <w:shd w:val="clear" w:color="auto" w:fill="D9EAD3"/>
            <w:tcMar>
              <w:top w:w="100" w:type="dxa"/>
              <w:left w:w="100" w:type="dxa"/>
              <w:bottom w:w="100" w:type="dxa"/>
              <w:right w:w="100" w:type="dxa"/>
            </w:tcMar>
          </w:tcPr>
          <w:p w14:paraId="62ED6EE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AQD16</w:t>
            </w:r>
          </w:p>
        </w:tc>
        <w:tc>
          <w:tcPr>
            <w:tcW w:w="6202" w:type="dxa"/>
            <w:shd w:val="clear" w:color="auto" w:fill="D9EAD3"/>
            <w:tcMar>
              <w:top w:w="100" w:type="dxa"/>
              <w:left w:w="100" w:type="dxa"/>
              <w:bottom w:w="100" w:type="dxa"/>
              <w:right w:w="100" w:type="dxa"/>
            </w:tcMar>
          </w:tcPr>
          <w:p w14:paraId="49C385C7" w14:textId="77777777" w:rsidR="00F27CC9" w:rsidRDefault="00353DB6">
            <w:pPr>
              <w:spacing w:after="0"/>
              <w:rPr>
                <w:rFonts w:ascii="Arial" w:eastAsia="Arial" w:hAnsi="Arial" w:cs="Arial"/>
                <w:b/>
                <w:sz w:val="20"/>
                <w:szCs w:val="20"/>
              </w:rPr>
            </w:pPr>
            <w:r>
              <w:rPr>
                <w:rFonts w:ascii="Arial" w:eastAsia="Arial" w:hAnsi="Arial" w:cs="Arial"/>
                <w:b/>
                <w:sz w:val="20"/>
                <w:szCs w:val="20"/>
              </w:rPr>
              <w:t>Y3 Service improvement percentage (0.00%)</w:t>
            </w:r>
          </w:p>
          <w:p w14:paraId="6CF00D8A"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Y3 annual running price provided in response to AQD7 to AQD10 attributed to the cost of service improvement.</w:t>
            </w:r>
          </w:p>
        </w:tc>
        <w:tc>
          <w:tcPr>
            <w:tcW w:w="1860" w:type="dxa"/>
            <w:shd w:val="clear" w:color="auto" w:fill="auto"/>
            <w:tcMar>
              <w:top w:w="100" w:type="dxa"/>
              <w:left w:w="100" w:type="dxa"/>
              <w:bottom w:w="100" w:type="dxa"/>
              <w:right w:w="100" w:type="dxa"/>
            </w:tcMar>
          </w:tcPr>
          <w:p w14:paraId="504456B3" w14:textId="77777777" w:rsidR="00F27CC9" w:rsidRDefault="00F27CC9">
            <w:pPr>
              <w:widowControl w:val="0"/>
              <w:spacing w:after="0" w:line="240" w:lineRule="auto"/>
              <w:rPr>
                <w:rFonts w:ascii="Arial" w:eastAsia="Arial" w:hAnsi="Arial" w:cs="Arial"/>
                <w:sz w:val="20"/>
                <w:szCs w:val="20"/>
              </w:rPr>
            </w:pPr>
          </w:p>
        </w:tc>
      </w:tr>
      <w:tr w:rsidR="00F27CC9" w14:paraId="5DFF188E" w14:textId="77777777">
        <w:trPr>
          <w:trHeight w:val="400"/>
        </w:trPr>
        <w:tc>
          <w:tcPr>
            <w:tcW w:w="983" w:type="dxa"/>
            <w:shd w:val="clear" w:color="auto" w:fill="D9EAD3"/>
            <w:tcMar>
              <w:top w:w="100" w:type="dxa"/>
              <w:left w:w="100" w:type="dxa"/>
              <w:bottom w:w="100" w:type="dxa"/>
              <w:right w:w="100" w:type="dxa"/>
            </w:tcMar>
          </w:tcPr>
          <w:p w14:paraId="01F1398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AQD17</w:t>
            </w:r>
          </w:p>
        </w:tc>
        <w:tc>
          <w:tcPr>
            <w:tcW w:w="6202" w:type="dxa"/>
            <w:shd w:val="clear" w:color="auto" w:fill="D9EAD3"/>
            <w:tcMar>
              <w:top w:w="100" w:type="dxa"/>
              <w:left w:w="100" w:type="dxa"/>
              <w:bottom w:w="100" w:type="dxa"/>
              <w:right w:w="100" w:type="dxa"/>
            </w:tcMar>
          </w:tcPr>
          <w:p w14:paraId="1E394D29" w14:textId="77777777" w:rsidR="00F27CC9" w:rsidRDefault="00353DB6">
            <w:pPr>
              <w:spacing w:after="0"/>
              <w:rPr>
                <w:rFonts w:ascii="Arial" w:eastAsia="Arial" w:hAnsi="Arial" w:cs="Arial"/>
                <w:b/>
                <w:sz w:val="20"/>
                <w:szCs w:val="20"/>
              </w:rPr>
            </w:pPr>
            <w:r>
              <w:rPr>
                <w:rFonts w:ascii="Arial" w:eastAsia="Arial" w:hAnsi="Arial" w:cs="Arial"/>
                <w:b/>
                <w:sz w:val="20"/>
                <w:szCs w:val="20"/>
              </w:rPr>
              <w:t>Y4 Service improvement percentage (0.00%)</w:t>
            </w:r>
          </w:p>
          <w:p w14:paraId="1751D233"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Y4 annual running price provided in response to AQD11 to AQD14 attributed to the cost of service improvement.</w:t>
            </w:r>
          </w:p>
        </w:tc>
        <w:tc>
          <w:tcPr>
            <w:tcW w:w="1860" w:type="dxa"/>
            <w:shd w:val="clear" w:color="auto" w:fill="auto"/>
            <w:tcMar>
              <w:top w:w="100" w:type="dxa"/>
              <w:left w:w="100" w:type="dxa"/>
              <w:bottom w:w="100" w:type="dxa"/>
              <w:right w:w="100" w:type="dxa"/>
            </w:tcMar>
          </w:tcPr>
          <w:p w14:paraId="38F9B0C4" w14:textId="77777777" w:rsidR="00F27CC9" w:rsidRDefault="00F27CC9">
            <w:pPr>
              <w:widowControl w:val="0"/>
              <w:spacing w:after="0" w:line="240" w:lineRule="auto"/>
              <w:rPr>
                <w:rFonts w:ascii="Arial" w:eastAsia="Arial" w:hAnsi="Arial" w:cs="Arial"/>
                <w:sz w:val="20"/>
                <w:szCs w:val="20"/>
              </w:rPr>
            </w:pPr>
          </w:p>
        </w:tc>
      </w:tr>
    </w:tbl>
    <w:p w14:paraId="5D53BA9D" w14:textId="77777777" w:rsidR="009978E6" w:rsidRDefault="009978E6">
      <w:pPr>
        <w:spacing w:after="0"/>
        <w:rPr>
          <w:rFonts w:ascii="Arial" w:eastAsia="Arial" w:hAnsi="Arial" w:cs="Arial"/>
        </w:rPr>
      </w:pPr>
    </w:p>
    <w:p w14:paraId="702AF246" w14:textId="77777777" w:rsidR="009978E6" w:rsidRDefault="009978E6">
      <w:pPr>
        <w:spacing w:after="0"/>
        <w:rPr>
          <w:rFonts w:ascii="Arial" w:eastAsia="Arial" w:hAnsi="Arial" w:cs="Arial"/>
        </w:rPr>
      </w:pPr>
    </w:p>
    <w:p w14:paraId="3A9D4E15" w14:textId="77777777" w:rsidR="009978E6" w:rsidRDefault="009978E6">
      <w:pPr>
        <w:spacing w:after="0"/>
        <w:rPr>
          <w:rFonts w:ascii="Arial" w:eastAsia="Arial" w:hAnsi="Arial" w:cs="Arial"/>
        </w:rPr>
      </w:pPr>
    </w:p>
    <w:p w14:paraId="3FC94FC6" w14:textId="77777777" w:rsidR="009978E6" w:rsidRDefault="009978E6">
      <w:pPr>
        <w:spacing w:after="0"/>
        <w:rPr>
          <w:rFonts w:ascii="Arial" w:eastAsia="Arial" w:hAnsi="Arial" w:cs="Arial"/>
        </w:rPr>
      </w:pPr>
    </w:p>
    <w:p w14:paraId="29063819" w14:textId="77777777" w:rsidR="009978E6" w:rsidRDefault="009978E6">
      <w:pPr>
        <w:spacing w:after="0"/>
        <w:rPr>
          <w:rFonts w:ascii="Arial" w:eastAsia="Arial" w:hAnsi="Arial" w:cs="Arial"/>
        </w:rPr>
      </w:pPr>
    </w:p>
    <w:p w14:paraId="6EA2D066" w14:textId="77777777" w:rsidR="009978E6" w:rsidRDefault="009978E6">
      <w:pPr>
        <w:spacing w:after="0"/>
        <w:rPr>
          <w:rFonts w:ascii="Arial" w:eastAsia="Arial" w:hAnsi="Arial" w:cs="Arial"/>
        </w:rPr>
      </w:pPr>
    </w:p>
    <w:p w14:paraId="7721D788" w14:textId="77777777" w:rsidR="009978E6" w:rsidRDefault="009978E6">
      <w:pPr>
        <w:spacing w:after="0"/>
        <w:rPr>
          <w:rFonts w:ascii="Arial" w:eastAsia="Arial" w:hAnsi="Arial" w:cs="Arial"/>
        </w:rPr>
      </w:pPr>
    </w:p>
    <w:p w14:paraId="7BF8D856" w14:textId="77777777" w:rsidR="00F27CC9" w:rsidRDefault="00353DB6">
      <w:pPr>
        <w:spacing w:after="0"/>
        <w:rPr>
          <w:rFonts w:ascii="Arial" w:eastAsia="Arial" w:hAnsi="Arial" w:cs="Arial"/>
          <w:b/>
          <w:sz w:val="20"/>
          <w:szCs w:val="20"/>
        </w:rPr>
      </w:pPr>
      <w:r>
        <w:rPr>
          <w:rFonts w:ascii="Arial" w:eastAsia="Arial" w:hAnsi="Arial" w:cs="Arial"/>
          <w:b/>
          <w:sz w:val="20"/>
          <w:szCs w:val="20"/>
        </w:rPr>
        <w:t>Table 5</w:t>
      </w:r>
    </w:p>
    <w:p w14:paraId="1490553A" w14:textId="77777777" w:rsidR="00F27CC9" w:rsidRDefault="00F27CC9">
      <w:pPr>
        <w:spacing w:after="0"/>
        <w:rPr>
          <w:rFonts w:ascii="Arial" w:eastAsia="Arial" w:hAnsi="Arial" w:cs="Arial"/>
          <w:sz w:val="20"/>
          <w:szCs w:val="20"/>
        </w:rPr>
      </w:pPr>
    </w:p>
    <w:tbl>
      <w:tblPr>
        <w:tblStyle w:val="a4"/>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585"/>
        <w:gridCol w:w="1860"/>
      </w:tblGrid>
      <w:tr w:rsidR="00F27CC9" w14:paraId="30140F87" w14:textId="77777777">
        <w:trPr>
          <w:trHeight w:val="420"/>
        </w:trPr>
        <w:tc>
          <w:tcPr>
            <w:tcW w:w="7185" w:type="dxa"/>
            <w:gridSpan w:val="2"/>
            <w:shd w:val="clear" w:color="auto" w:fill="CCCCCC"/>
            <w:tcMar>
              <w:top w:w="100" w:type="dxa"/>
              <w:left w:w="100" w:type="dxa"/>
              <w:bottom w:w="100" w:type="dxa"/>
              <w:right w:w="100" w:type="dxa"/>
            </w:tcMar>
          </w:tcPr>
          <w:p w14:paraId="002260D3" w14:textId="6B15E50E"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1 DNS Services - Invoic</w:t>
            </w:r>
            <w:r w:rsidR="00C541EF">
              <w:rPr>
                <w:rFonts w:ascii="Arial" w:eastAsia="Arial" w:hAnsi="Arial" w:cs="Arial"/>
                <w:b/>
                <w:sz w:val="20"/>
                <w:szCs w:val="20"/>
              </w:rPr>
              <w:t>e</w:t>
            </w:r>
            <w:r>
              <w:rPr>
                <w:rFonts w:ascii="Arial" w:eastAsia="Arial" w:hAnsi="Arial" w:cs="Arial"/>
                <w:b/>
                <w:sz w:val="20"/>
                <w:szCs w:val="20"/>
              </w:rPr>
              <w:t xml:space="preserve"> price (AQD18)</w:t>
            </w:r>
          </w:p>
          <w:p w14:paraId="41E92E75" w14:textId="77777777" w:rsidR="00F27CC9" w:rsidRDefault="00F27CC9">
            <w:pPr>
              <w:widowControl w:val="0"/>
              <w:spacing w:after="0" w:line="240" w:lineRule="auto"/>
              <w:rPr>
                <w:rFonts w:ascii="Arial" w:eastAsia="Arial" w:hAnsi="Arial" w:cs="Arial"/>
                <w:b/>
                <w:sz w:val="20"/>
                <w:szCs w:val="20"/>
              </w:rPr>
            </w:pPr>
          </w:p>
        </w:tc>
        <w:tc>
          <w:tcPr>
            <w:tcW w:w="1860" w:type="dxa"/>
            <w:shd w:val="clear" w:color="auto" w:fill="CCCCCC"/>
            <w:tcMar>
              <w:top w:w="100" w:type="dxa"/>
              <w:left w:w="100" w:type="dxa"/>
              <w:bottom w:w="100" w:type="dxa"/>
              <w:right w:w="100" w:type="dxa"/>
            </w:tcMar>
          </w:tcPr>
          <w:p w14:paraId="29A8140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00BB8DEC" w14:textId="77777777">
        <w:trPr>
          <w:trHeight w:val="400"/>
        </w:trPr>
        <w:tc>
          <w:tcPr>
            <w:tcW w:w="600" w:type="dxa"/>
            <w:shd w:val="clear" w:color="auto" w:fill="D9EAD3"/>
            <w:tcMar>
              <w:top w:w="100" w:type="dxa"/>
              <w:left w:w="100" w:type="dxa"/>
              <w:bottom w:w="100" w:type="dxa"/>
              <w:right w:w="100" w:type="dxa"/>
            </w:tcMar>
          </w:tcPr>
          <w:p w14:paraId="0CA48B7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AQD18</w:t>
            </w:r>
          </w:p>
        </w:tc>
        <w:tc>
          <w:tcPr>
            <w:tcW w:w="6585" w:type="dxa"/>
            <w:shd w:val="clear" w:color="auto" w:fill="D9EAD3"/>
            <w:tcMar>
              <w:top w:w="100" w:type="dxa"/>
              <w:left w:w="100" w:type="dxa"/>
              <w:bottom w:w="100" w:type="dxa"/>
              <w:right w:w="100" w:type="dxa"/>
            </w:tcMar>
          </w:tcPr>
          <w:p w14:paraId="1F87B491" w14:textId="77777777" w:rsidR="00F27CC9" w:rsidRDefault="00353DB6">
            <w:pPr>
              <w:spacing w:after="0"/>
              <w:rPr>
                <w:rFonts w:ascii="Arial" w:eastAsia="Arial" w:hAnsi="Arial" w:cs="Arial"/>
                <w:b/>
                <w:sz w:val="20"/>
                <w:szCs w:val="20"/>
              </w:rPr>
            </w:pPr>
            <w:r>
              <w:rPr>
                <w:rFonts w:ascii="Arial" w:eastAsia="Arial" w:hAnsi="Arial" w:cs="Arial"/>
                <w:b/>
                <w:sz w:val="20"/>
                <w:szCs w:val="20"/>
              </w:rPr>
              <w:t>Individual quarterly invoice to each Buyer (£0.00 per user per invoice)</w:t>
            </w:r>
          </w:p>
          <w:p w14:paraId="3426F212" w14:textId="77777777" w:rsidR="00F27CC9" w:rsidRDefault="00353DB6">
            <w:pPr>
              <w:spacing w:after="0"/>
              <w:rPr>
                <w:rFonts w:ascii="Arial" w:eastAsia="Arial" w:hAnsi="Arial" w:cs="Arial"/>
                <w:sz w:val="20"/>
                <w:szCs w:val="20"/>
              </w:rPr>
            </w:pPr>
            <w:r>
              <w:rPr>
                <w:rFonts w:ascii="Arial" w:eastAsia="Arial" w:hAnsi="Arial" w:cs="Arial"/>
                <w:sz w:val="20"/>
                <w:szCs w:val="20"/>
              </w:rPr>
              <w:t>The  price per Buyer per quarterly invoice, in arrears, commencing Y1</w:t>
            </w:r>
          </w:p>
        </w:tc>
        <w:tc>
          <w:tcPr>
            <w:tcW w:w="1860" w:type="dxa"/>
            <w:shd w:val="clear" w:color="auto" w:fill="auto"/>
            <w:tcMar>
              <w:top w:w="100" w:type="dxa"/>
              <w:left w:w="100" w:type="dxa"/>
              <w:bottom w:w="100" w:type="dxa"/>
              <w:right w:w="100" w:type="dxa"/>
            </w:tcMar>
          </w:tcPr>
          <w:p w14:paraId="55217CBF" w14:textId="77777777" w:rsidR="00F27CC9" w:rsidRDefault="00F27CC9">
            <w:pPr>
              <w:widowControl w:val="0"/>
              <w:spacing w:after="0" w:line="240" w:lineRule="auto"/>
              <w:rPr>
                <w:rFonts w:ascii="Arial" w:eastAsia="Arial" w:hAnsi="Arial" w:cs="Arial"/>
                <w:sz w:val="20"/>
                <w:szCs w:val="20"/>
              </w:rPr>
            </w:pPr>
          </w:p>
        </w:tc>
      </w:tr>
    </w:tbl>
    <w:p w14:paraId="364044BE" w14:textId="77777777" w:rsidR="00F27CC9" w:rsidRDefault="00F27CC9">
      <w:pPr>
        <w:spacing w:after="0"/>
        <w:rPr>
          <w:rFonts w:ascii="Arial" w:eastAsia="Arial" w:hAnsi="Arial" w:cs="Arial"/>
          <w:sz w:val="20"/>
          <w:szCs w:val="20"/>
        </w:rPr>
      </w:pPr>
    </w:p>
    <w:p w14:paraId="5A99F4BB" w14:textId="77777777" w:rsidR="00F27CC9" w:rsidRDefault="00F27CC9">
      <w:pPr>
        <w:spacing w:after="0"/>
        <w:rPr>
          <w:rFonts w:ascii="Arial" w:eastAsia="Arial" w:hAnsi="Arial" w:cs="Arial"/>
        </w:rPr>
      </w:pPr>
    </w:p>
    <w:p w14:paraId="5F4E88B7" w14:textId="77777777" w:rsidR="00F27CC9" w:rsidRDefault="00353DB6" w:rsidP="003755D5">
      <w:pPr>
        <w:keepNext/>
        <w:numPr>
          <w:ilvl w:val="0"/>
          <w:numId w:val="4"/>
        </w:numPr>
        <w:tabs>
          <w:tab w:val="left" w:pos="720"/>
        </w:tabs>
        <w:spacing w:before="240" w:after="240" w:line="240" w:lineRule="auto"/>
        <w:ind w:left="1080"/>
        <w:jc w:val="both"/>
        <w:rPr>
          <w:rFonts w:ascii="Arial Bold" w:eastAsia="Arial Bold" w:hAnsi="Arial Bold" w:cs="Arial Bold"/>
          <w:b/>
          <w:sz w:val="24"/>
          <w:szCs w:val="24"/>
        </w:rPr>
      </w:pPr>
      <w:r>
        <w:rPr>
          <w:rFonts w:ascii="Arial Bold" w:eastAsia="Arial Bold" w:hAnsi="Arial Bold" w:cs="Arial Bold"/>
          <w:b/>
          <w:sz w:val="24"/>
          <w:szCs w:val="24"/>
        </w:rPr>
        <w:t>Lot 2 PSN Email Relay Services Framework Prices</w:t>
      </w:r>
    </w:p>
    <w:p w14:paraId="62DFCC10" w14:textId="77777777" w:rsidR="00F27CC9" w:rsidRDefault="00353DB6">
      <w:pPr>
        <w:rPr>
          <w:rFonts w:ascii="Arial" w:eastAsia="Arial" w:hAnsi="Arial" w:cs="Arial"/>
          <w:b/>
        </w:rPr>
      </w:pPr>
      <w:r>
        <w:rPr>
          <w:rFonts w:ascii="Arial" w:eastAsia="Arial" w:hAnsi="Arial" w:cs="Arial"/>
          <w:b/>
        </w:rPr>
        <w:t xml:space="preserve">[Note: </w:t>
      </w:r>
      <w:r>
        <w:rPr>
          <w:rFonts w:ascii="Arial" w:eastAsia="Arial" w:hAnsi="Arial" w:cs="Arial"/>
        </w:rPr>
        <w:t>The Tables 6 to 9 below will be populated with the successful Supplier’s tender response for Lot 2</w:t>
      </w:r>
      <w:r>
        <w:rPr>
          <w:rFonts w:ascii="Arial" w:eastAsia="Arial" w:hAnsi="Arial" w:cs="Arial"/>
          <w:b/>
        </w:rPr>
        <w:t>]</w:t>
      </w:r>
    </w:p>
    <w:p w14:paraId="3EA47E1E" w14:textId="77777777" w:rsidR="00F27CC9" w:rsidRDefault="00353DB6">
      <w:pPr>
        <w:rPr>
          <w:rFonts w:ascii="Arial" w:eastAsia="Arial" w:hAnsi="Arial" w:cs="Arial"/>
          <w:b/>
        </w:rPr>
      </w:pPr>
      <w:r>
        <w:rPr>
          <w:rFonts w:ascii="Arial" w:eastAsia="Arial" w:hAnsi="Arial" w:cs="Arial"/>
          <w:b/>
        </w:rPr>
        <w:t>Table 6</w:t>
      </w:r>
    </w:p>
    <w:tbl>
      <w:tblPr>
        <w:tblStyle w:val="a5"/>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600"/>
        <w:gridCol w:w="1845"/>
      </w:tblGrid>
      <w:tr w:rsidR="00F27CC9" w14:paraId="3EC650C7" w14:textId="77777777">
        <w:trPr>
          <w:trHeight w:val="420"/>
        </w:trPr>
        <w:tc>
          <w:tcPr>
            <w:tcW w:w="7200" w:type="dxa"/>
            <w:gridSpan w:val="2"/>
            <w:shd w:val="clear" w:color="auto" w:fill="CCCCCC"/>
            <w:tcMar>
              <w:top w:w="100" w:type="dxa"/>
              <w:left w:w="100" w:type="dxa"/>
              <w:bottom w:w="100" w:type="dxa"/>
              <w:right w:w="100" w:type="dxa"/>
            </w:tcMar>
          </w:tcPr>
          <w:p w14:paraId="47872BD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2 Email Relay Services - Set up price (AQE1 - AQE2)</w:t>
            </w:r>
          </w:p>
          <w:p w14:paraId="27AA13B4" w14:textId="77777777" w:rsidR="00F27CC9" w:rsidRDefault="00F27CC9">
            <w:pPr>
              <w:widowControl w:val="0"/>
              <w:spacing w:after="0" w:line="240" w:lineRule="auto"/>
              <w:rPr>
                <w:rFonts w:ascii="Arial" w:eastAsia="Arial" w:hAnsi="Arial" w:cs="Arial"/>
                <w:b/>
                <w:sz w:val="20"/>
                <w:szCs w:val="20"/>
              </w:rPr>
            </w:pPr>
          </w:p>
        </w:tc>
        <w:tc>
          <w:tcPr>
            <w:tcW w:w="1845" w:type="dxa"/>
            <w:shd w:val="clear" w:color="auto" w:fill="CCCCCC"/>
            <w:tcMar>
              <w:top w:w="100" w:type="dxa"/>
              <w:left w:w="100" w:type="dxa"/>
              <w:bottom w:w="100" w:type="dxa"/>
              <w:right w:w="100" w:type="dxa"/>
            </w:tcMar>
          </w:tcPr>
          <w:p w14:paraId="42C29B22" w14:textId="77777777" w:rsidR="00F27CC9" w:rsidRDefault="00F27CC9">
            <w:pPr>
              <w:widowControl w:val="0"/>
              <w:spacing w:after="0" w:line="240" w:lineRule="auto"/>
              <w:rPr>
                <w:rFonts w:ascii="Arial" w:eastAsia="Arial" w:hAnsi="Arial" w:cs="Arial"/>
                <w:sz w:val="20"/>
                <w:szCs w:val="20"/>
              </w:rPr>
            </w:pPr>
          </w:p>
        </w:tc>
      </w:tr>
      <w:tr w:rsidR="00F27CC9" w14:paraId="262AA7E9" w14:textId="77777777">
        <w:trPr>
          <w:trHeight w:val="400"/>
        </w:trPr>
        <w:tc>
          <w:tcPr>
            <w:tcW w:w="600" w:type="dxa"/>
            <w:shd w:val="clear" w:color="auto" w:fill="D9EAD3"/>
            <w:tcMar>
              <w:top w:w="100" w:type="dxa"/>
              <w:left w:w="100" w:type="dxa"/>
              <w:bottom w:w="100" w:type="dxa"/>
              <w:right w:w="100" w:type="dxa"/>
            </w:tcMar>
          </w:tcPr>
          <w:p w14:paraId="5915AB9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AQE2</w:t>
            </w:r>
          </w:p>
        </w:tc>
        <w:tc>
          <w:tcPr>
            <w:tcW w:w="6600" w:type="dxa"/>
            <w:shd w:val="clear" w:color="auto" w:fill="D9EAD3"/>
            <w:tcMar>
              <w:top w:w="100" w:type="dxa"/>
              <w:left w:w="100" w:type="dxa"/>
              <w:bottom w:w="100" w:type="dxa"/>
              <w:right w:w="100" w:type="dxa"/>
            </w:tcMar>
          </w:tcPr>
          <w:p w14:paraId="2F63F29B"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Set up price per annum (£00.00 p.a.)</w:t>
            </w:r>
          </w:p>
          <w:p w14:paraId="285EF3BC" w14:textId="77777777" w:rsidR="00F27CC9" w:rsidRDefault="00353DB6">
            <w:pPr>
              <w:spacing w:after="0"/>
              <w:rPr>
                <w:rFonts w:ascii="Arial" w:eastAsia="Arial" w:hAnsi="Arial" w:cs="Arial"/>
                <w:sz w:val="20"/>
                <w:szCs w:val="20"/>
              </w:rPr>
            </w:pPr>
            <w:r>
              <w:rPr>
                <w:rFonts w:ascii="Arial" w:eastAsia="Arial" w:hAnsi="Arial" w:cs="Arial"/>
                <w:sz w:val="20"/>
                <w:szCs w:val="20"/>
              </w:rPr>
              <w:t>The set up price recovered per annum in the first two years of service delivery Y1 and Y2.</w:t>
            </w:r>
          </w:p>
        </w:tc>
        <w:tc>
          <w:tcPr>
            <w:tcW w:w="1845" w:type="dxa"/>
            <w:shd w:val="clear" w:color="auto" w:fill="auto"/>
            <w:tcMar>
              <w:top w:w="100" w:type="dxa"/>
              <w:left w:w="100" w:type="dxa"/>
              <w:bottom w:w="100" w:type="dxa"/>
              <w:right w:w="100" w:type="dxa"/>
            </w:tcMar>
          </w:tcPr>
          <w:p w14:paraId="5DB93B74" w14:textId="77777777" w:rsidR="00F27CC9" w:rsidRDefault="00F27CC9">
            <w:pPr>
              <w:widowControl w:val="0"/>
              <w:spacing w:after="0" w:line="240" w:lineRule="auto"/>
              <w:rPr>
                <w:rFonts w:ascii="Arial" w:eastAsia="Arial" w:hAnsi="Arial" w:cs="Arial"/>
                <w:sz w:val="20"/>
                <w:szCs w:val="20"/>
              </w:rPr>
            </w:pPr>
          </w:p>
        </w:tc>
      </w:tr>
      <w:tr w:rsidR="00F27CC9" w14:paraId="61A5DC36" w14:textId="77777777">
        <w:trPr>
          <w:trHeight w:val="400"/>
        </w:trPr>
        <w:tc>
          <w:tcPr>
            <w:tcW w:w="600" w:type="dxa"/>
            <w:shd w:val="clear" w:color="auto" w:fill="D9EAD3"/>
            <w:tcMar>
              <w:top w:w="100" w:type="dxa"/>
              <w:left w:w="100" w:type="dxa"/>
              <w:bottom w:w="100" w:type="dxa"/>
              <w:right w:w="100" w:type="dxa"/>
            </w:tcMar>
          </w:tcPr>
          <w:p w14:paraId="4D785628"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AQE3</w:t>
            </w:r>
          </w:p>
        </w:tc>
        <w:tc>
          <w:tcPr>
            <w:tcW w:w="6600" w:type="dxa"/>
            <w:shd w:val="clear" w:color="auto" w:fill="D9EAD3"/>
            <w:tcMar>
              <w:top w:w="100" w:type="dxa"/>
              <w:left w:w="100" w:type="dxa"/>
              <w:bottom w:w="100" w:type="dxa"/>
              <w:right w:w="100" w:type="dxa"/>
            </w:tcMar>
          </w:tcPr>
          <w:p w14:paraId="1C8E256F" w14:textId="77777777" w:rsidR="00F27CC9" w:rsidRDefault="00353DB6">
            <w:pPr>
              <w:spacing w:after="0"/>
              <w:rPr>
                <w:rFonts w:ascii="Arial" w:eastAsia="Arial" w:hAnsi="Arial" w:cs="Arial"/>
                <w:b/>
                <w:sz w:val="20"/>
                <w:szCs w:val="20"/>
              </w:rPr>
            </w:pPr>
            <w:r>
              <w:rPr>
                <w:rFonts w:ascii="Arial" w:eastAsia="Arial" w:hAnsi="Arial" w:cs="Arial"/>
                <w:b/>
                <w:sz w:val="20"/>
                <w:szCs w:val="20"/>
              </w:rPr>
              <w:t>Cost of financing percentage (0.00%)</w:t>
            </w:r>
          </w:p>
          <w:p w14:paraId="143ED231" w14:textId="77777777" w:rsidR="00F27CC9" w:rsidRDefault="00353DB6">
            <w:pPr>
              <w:spacing w:after="0"/>
              <w:rPr>
                <w:rFonts w:ascii="Arial" w:eastAsia="Arial" w:hAnsi="Arial" w:cs="Arial"/>
                <w:sz w:val="20"/>
                <w:szCs w:val="20"/>
              </w:rPr>
            </w:pPr>
            <w:r>
              <w:rPr>
                <w:rFonts w:ascii="Arial" w:eastAsia="Arial" w:hAnsi="Arial" w:cs="Arial"/>
                <w:sz w:val="20"/>
                <w:szCs w:val="20"/>
              </w:rPr>
              <w:t xml:space="preserve">The percentage of the per annum set up price provided in response to </w:t>
            </w:r>
            <w:r>
              <w:rPr>
                <w:rFonts w:ascii="Arial" w:eastAsia="Arial" w:hAnsi="Arial" w:cs="Arial"/>
                <w:b/>
                <w:sz w:val="20"/>
                <w:szCs w:val="20"/>
              </w:rPr>
              <w:t>AQE1</w:t>
            </w:r>
            <w:r>
              <w:rPr>
                <w:rFonts w:ascii="Arial" w:eastAsia="Arial" w:hAnsi="Arial" w:cs="Arial"/>
                <w:sz w:val="20"/>
                <w:szCs w:val="20"/>
              </w:rPr>
              <w:t xml:space="preserve"> attributed to the cost of financing due to the recovery of the set up price during the first two years of service delivery Y1 and Y2.</w:t>
            </w:r>
          </w:p>
        </w:tc>
        <w:tc>
          <w:tcPr>
            <w:tcW w:w="1845" w:type="dxa"/>
            <w:shd w:val="clear" w:color="auto" w:fill="auto"/>
            <w:tcMar>
              <w:top w:w="100" w:type="dxa"/>
              <w:left w:w="100" w:type="dxa"/>
              <w:bottom w:w="100" w:type="dxa"/>
              <w:right w:w="100" w:type="dxa"/>
            </w:tcMar>
          </w:tcPr>
          <w:p w14:paraId="4912647D" w14:textId="77777777" w:rsidR="00F27CC9" w:rsidRDefault="00F27CC9">
            <w:pPr>
              <w:widowControl w:val="0"/>
              <w:spacing w:after="0" w:line="240" w:lineRule="auto"/>
              <w:rPr>
                <w:rFonts w:ascii="Arial" w:eastAsia="Arial" w:hAnsi="Arial" w:cs="Arial"/>
                <w:sz w:val="20"/>
                <w:szCs w:val="20"/>
              </w:rPr>
            </w:pPr>
          </w:p>
        </w:tc>
      </w:tr>
    </w:tbl>
    <w:p w14:paraId="32FDE46D" w14:textId="77777777" w:rsidR="00F27CC9" w:rsidRDefault="00F27CC9">
      <w:pPr>
        <w:spacing w:after="0"/>
        <w:rPr>
          <w:rFonts w:ascii="Arial" w:eastAsia="Arial" w:hAnsi="Arial" w:cs="Arial"/>
          <w:b/>
        </w:rPr>
      </w:pPr>
    </w:p>
    <w:p w14:paraId="5130F726" w14:textId="77777777" w:rsidR="00F27CC9" w:rsidRDefault="00353DB6">
      <w:pPr>
        <w:spacing w:after="0"/>
        <w:rPr>
          <w:rFonts w:ascii="Arial" w:eastAsia="Arial" w:hAnsi="Arial" w:cs="Arial"/>
          <w:b/>
        </w:rPr>
      </w:pPr>
      <w:r>
        <w:rPr>
          <w:rFonts w:ascii="Arial" w:eastAsia="Arial" w:hAnsi="Arial" w:cs="Arial"/>
          <w:b/>
        </w:rPr>
        <w:t>Table 7</w:t>
      </w:r>
    </w:p>
    <w:p w14:paraId="5E864691" w14:textId="77777777" w:rsidR="00F27CC9" w:rsidRDefault="00F27CC9">
      <w:pPr>
        <w:spacing w:after="0"/>
        <w:rPr>
          <w:rFonts w:ascii="Arial" w:eastAsia="Arial" w:hAnsi="Arial" w:cs="Arial"/>
        </w:rPr>
      </w:pPr>
    </w:p>
    <w:tbl>
      <w:tblPr>
        <w:tblStyle w:val="a6"/>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596"/>
        <w:gridCol w:w="1324"/>
        <w:gridCol w:w="661"/>
        <w:gridCol w:w="1349"/>
        <w:gridCol w:w="635"/>
        <w:gridCol w:w="1375"/>
        <w:gridCol w:w="610"/>
        <w:gridCol w:w="1400"/>
      </w:tblGrid>
      <w:tr w:rsidR="00F27CC9" w14:paraId="0C5EEE4A" w14:textId="77777777">
        <w:trPr>
          <w:trHeight w:val="420"/>
        </w:trPr>
        <w:tc>
          <w:tcPr>
            <w:tcW w:w="9045" w:type="dxa"/>
            <w:gridSpan w:val="9"/>
            <w:shd w:val="clear" w:color="auto" w:fill="CCCCCC"/>
            <w:tcMar>
              <w:top w:w="100" w:type="dxa"/>
              <w:left w:w="100" w:type="dxa"/>
              <w:bottom w:w="100" w:type="dxa"/>
              <w:right w:w="100" w:type="dxa"/>
            </w:tcMar>
          </w:tcPr>
          <w:p w14:paraId="604E19BE"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2 Email Relay Services - Service running price (AQE3 - AQE14)</w:t>
            </w:r>
          </w:p>
          <w:p w14:paraId="2F3E6B89" w14:textId="77777777" w:rsidR="00F27CC9" w:rsidRDefault="00F27CC9">
            <w:pPr>
              <w:widowControl w:val="0"/>
              <w:spacing w:after="0" w:line="240" w:lineRule="auto"/>
              <w:rPr>
                <w:rFonts w:ascii="Arial" w:eastAsia="Arial" w:hAnsi="Arial" w:cs="Arial"/>
                <w:b/>
                <w:sz w:val="20"/>
                <w:szCs w:val="20"/>
              </w:rPr>
            </w:pPr>
          </w:p>
          <w:p w14:paraId="08B034A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Y1Y2 annual running price per annum for Y1 and Y2 (£00.00 p.a.)</w:t>
            </w:r>
          </w:p>
          <w:p w14:paraId="6ADF870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Y3 annual running price per annum for Y3 (£00.00 p.a.)</w:t>
            </w:r>
          </w:p>
          <w:p w14:paraId="1C4C44D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Y4 annual running price per annum for Y4 (£00.00 p.a.)</w:t>
            </w:r>
          </w:p>
          <w:p w14:paraId="34FA3E48" w14:textId="77777777" w:rsidR="00F27CC9" w:rsidRDefault="00F27CC9">
            <w:pPr>
              <w:widowControl w:val="0"/>
              <w:spacing w:after="0" w:line="240" w:lineRule="auto"/>
              <w:rPr>
                <w:rFonts w:ascii="Arial" w:eastAsia="Arial" w:hAnsi="Arial" w:cs="Arial"/>
                <w:sz w:val="20"/>
                <w:szCs w:val="20"/>
              </w:rPr>
            </w:pPr>
          </w:p>
          <w:p w14:paraId="7F3416E3" w14:textId="77777777" w:rsidR="00F27CC9" w:rsidRDefault="00353DB6">
            <w:pPr>
              <w:widowControl w:val="0"/>
              <w:spacing w:after="0" w:line="240" w:lineRule="auto"/>
              <w:rPr>
                <w:rFonts w:ascii="Arial" w:eastAsia="Arial" w:hAnsi="Arial" w:cs="Arial"/>
                <w:sz w:val="20"/>
                <w:szCs w:val="20"/>
              </w:rPr>
            </w:pPr>
            <w:r>
              <w:rPr>
                <w:rFonts w:ascii="Arial" w:eastAsia="Arial" w:hAnsi="Arial" w:cs="Arial"/>
                <w:sz w:val="20"/>
                <w:szCs w:val="20"/>
              </w:rPr>
              <w:t>The annual running price of the service including service improvement such as hardware and/or software upgrades required to maintain the service to meet the requirements of the specification as detailed in Framework Schedule 1, for example, PSN Email Relay Service requirement SEC-15 “The PSN Email Relay shall be able to continually mitigate against known and newly identified threats &amp; malicious techniques”.</w:t>
            </w:r>
          </w:p>
        </w:tc>
      </w:tr>
      <w:tr w:rsidR="00F27CC9" w14:paraId="3C7653D7" w14:textId="77777777">
        <w:trPr>
          <w:trHeight w:val="400"/>
        </w:trPr>
        <w:tc>
          <w:tcPr>
            <w:tcW w:w="1095" w:type="dxa"/>
            <w:shd w:val="clear" w:color="auto" w:fill="D9EAD3"/>
            <w:tcMar>
              <w:top w:w="100" w:type="dxa"/>
              <w:left w:w="100" w:type="dxa"/>
              <w:bottom w:w="100" w:type="dxa"/>
              <w:right w:w="100" w:type="dxa"/>
            </w:tcMar>
          </w:tcPr>
          <w:p w14:paraId="30E84F0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Delivery Year</w:t>
            </w:r>
          </w:p>
        </w:tc>
        <w:tc>
          <w:tcPr>
            <w:tcW w:w="1920" w:type="dxa"/>
            <w:gridSpan w:val="2"/>
            <w:shd w:val="clear" w:color="auto" w:fill="D9EAD3"/>
            <w:tcMar>
              <w:top w:w="100" w:type="dxa"/>
              <w:left w:w="100" w:type="dxa"/>
              <w:bottom w:w="100" w:type="dxa"/>
              <w:right w:w="100" w:type="dxa"/>
            </w:tcMar>
          </w:tcPr>
          <w:p w14:paraId="5B2D41BF" w14:textId="798DCB2B" w:rsidR="00F27CC9" w:rsidRDefault="00C6011A">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250 million emails per month</w:t>
            </w:r>
          </w:p>
        </w:tc>
        <w:tc>
          <w:tcPr>
            <w:tcW w:w="2010" w:type="dxa"/>
            <w:gridSpan w:val="2"/>
            <w:shd w:val="clear" w:color="auto" w:fill="D9EAD3"/>
            <w:tcMar>
              <w:top w:w="100" w:type="dxa"/>
              <w:left w:w="100" w:type="dxa"/>
              <w:bottom w:w="100" w:type="dxa"/>
              <w:right w:w="100" w:type="dxa"/>
            </w:tcMar>
          </w:tcPr>
          <w:p w14:paraId="724013AD" w14:textId="4FB82C84" w:rsidR="00F27CC9" w:rsidRDefault="00C6011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150 million emails per month</w:t>
            </w:r>
          </w:p>
        </w:tc>
        <w:tc>
          <w:tcPr>
            <w:tcW w:w="2010" w:type="dxa"/>
            <w:gridSpan w:val="2"/>
            <w:shd w:val="clear" w:color="auto" w:fill="D9EAD3"/>
            <w:tcMar>
              <w:top w:w="100" w:type="dxa"/>
              <w:left w:w="100" w:type="dxa"/>
              <w:bottom w:w="100" w:type="dxa"/>
              <w:right w:w="100" w:type="dxa"/>
            </w:tcMar>
          </w:tcPr>
          <w:p w14:paraId="1F3FC524" w14:textId="679097CC" w:rsidR="00F27CC9" w:rsidRDefault="00C6011A">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100 million emails per month</w:t>
            </w:r>
          </w:p>
        </w:tc>
        <w:tc>
          <w:tcPr>
            <w:tcW w:w="2010" w:type="dxa"/>
            <w:gridSpan w:val="2"/>
            <w:shd w:val="clear" w:color="auto" w:fill="D9EAD3"/>
            <w:tcMar>
              <w:top w:w="100" w:type="dxa"/>
              <w:left w:w="100" w:type="dxa"/>
              <w:bottom w:w="100" w:type="dxa"/>
              <w:right w:w="100" w:type="dxa"/>
            </w:tcMar>
          </w:tcPr>
          <w:p w14:paraId="6C7AC221" w14:textId="06A08C92" w:rsidR="00F27CC9" w:rsidRDefault="00C6011A" w:rsidP="00C6011A">
            <w:pPr>
              <w:widowControl w:val="0"/>
              <w:spacing w:after="0" w:line="240" w:lineRule="auto"/>
              <w:rPr>
                <w:rFonts w:ascii="Arial" w:eastAsia="Arial" w:hAnsi="Arial" w:cs="Arial"/>
                <w:b/>
                <w:sz w:val="20"/>
                <w:szCs w:val="20"/>
              </w:rPr>
            </w:pPr>
            <w:r>
              <w:rPr>
                <w:rFonts w:ascii="Arial" w:eastAsia="Arial" w:hAnsi="Arial" w:cs="Arial"/>
                <w:b/>
                <w:sz w:val="20"/>
                <w:szCs w:val="20"/>
              </w:rPr>
              <w:t xml:space="preserve">Up to </w:t>
            </w:r>
            <w:r w:rsidR="00353DB6">
              <w:rPr>
                <w:rFonts w:ascii="Arial" w:eastAsia="Arial" w:hAnsi="Arial" w:cs="Arial"/>
                <w:b/>
                <w:sz w:val="20"/>
                <w:szCs w:val="20"/>
              </w:rPr>
              <w:t>50 million emails per month</w:t>
            </w:r>
          </w:p>
        </w:tc>
      </w:tr>
      <w:tr w:rsidR="00F27CC9" w14:paraId="53216857" w14:textId="77777777">
        <w:trPr>
          <w:trHeight w:val="380"/>
        </w:trPr>
        <w:tc>
          <w:tcPr>
            <w:tcW w:w="1095" w:type="dxa"/>
            <w:shd w:val="clear" w:color="auto" w:fill="D9EAD3"/>
            <w:tcMar>
              <w:top w:w="100" w:type="dxa"/>
              <w:left w:w="100" w:type="dxa"/>
              <w:bottom w:w="100" w:type="dxa"/>
              <w:right w:w="100" w:type="dxa"/>
            </w:tcMar>
          </w:tcPr>
          <w:p w14:paraId="227B2FA8" w14:textId="26533902"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lastRenderedPageBreak/>
              <w:t>Y1Y2</w:t>
            </w:r>
          </w:p>
          <w:p w14:paraId="6ADFFD9F"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2E11A27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AQE3</w:t>
            </w:r>
          </w:p>
        </w:tc>
        <w:tc>
          <w:tcPr>
            <w:tcW w:w="1324" w:type="dxa"/>
            <w:tcMar>
              <w:top w:w="100" w:type="dxa"/>
              <w:left w:w="100" w:type="dxa"/>
              <w:bottom w:w="100" w:type="dxa"/>
              <w:right w:w="100" w:type="dxa"/>
            </w:tcMar>
          </w:tcPr>
          <w:p w14:paraId="75918F41" w14:textId="77777777" w:rsidR="00F27CC9" w:rsidRDefault="00F27CC9">
            <w:pPr>
              <w:widowControl w:val="0"/>
              <w:spacing w:after="0" w:line="240" w:lineRule="auto"/>
              <w:rPr>
                <w:rFonts w:ascii="Arial" w:eastAsia="Arial" w:hAnsi="Arial" w:cs="Arial"/>
                <w:sz w:val="20"/>
                <w:szCs w:val="20"/>
              </w:rPr>
            </w:pPr>
          </w:p>
        </w:tc>
        <w:tc>
          <w:tcPr>
            <w:tcW w:w="661" w:type="dxa"/>
            <w:shd w:val="clear" w:color="auto" w:fill="D9EAD3"/>
            <w:tcMar>
              <w:top w:w="100" w:type="dxa"/>
              <w:left w:w="100" w:type="dxa"/>
              <w:bottom w:w="100" w:type="dxa"/>
              <w:right w:w="100" w:type="dxa"/>
            </w:tcMar>
          </w:tcPr>
          <w:p w14:paraId="6C31B862"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4A7B668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E4</w:t>
            </w:r>
          </w:p>
        </w:tc>
        <w:tc>
          <w:tcPr>
            <w:tcW w:w="1349" w:type="dxa"/>
            <w:shd w:val="clear" w:color="auto" w:fill="auto"/>
          </w:tcPr>
          <w:p w14:paraId="7B197500" w14:textId="77777777" w:rsidR="00F27CC9" w:rsidRDefault="00F27CC9">
            <w:pPr>
              <w:widowControl w:val="0"/>
              <w:spacing w:after="0" w:line="240" w:lineRule="auto"/>
              <w:rPr>
                <w:rFonts w:ascii="Arial" w:eastAsia="Arial" w:hAnsi="Arial" w:cs="Arial"/>
                <w:b/>
                <w:sz w:val="20"/>
                <w:szCs w:val="20"/>
              </w:rPr>
            </w:pPr>
          </w:p>
        </w:tc>
        <w:tc>
          <w:tcPr>
            <w:tcW w:w="635" w:type="dxa"/>
            <w:shd w:val="clear" w:color="auto" w:fill="D9EAD3"/>
            <w:tcMar>
              <w:top w:w="100" w:type="dxa"/>
              <w:left w:w="100" w:type="dxa"/>
              <w:bottom w:w="100" w:type="dxa"/>
              <w:right w:w="100" w:type="dxa"/>
            </w:tcMar>
          </w:tcPr>
          <w:p w14:paraId="1AAA7C0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196522A3"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E5</w:t>
            </w:r>
          </w:p>
        </w:tc>
        <w:tc>
          <w:tcPr>
            <w:tcW w:w="1375" w:type="dxa"/>
            <w:shd w:val="clear" w:color="auto" w:fill="auto"/>
          </w:tcPr>
          <w:p w14:paraId="57EE97FD" w14:textId="77777777" w:rsidR="00F27CC9" w:rsidRDefault="00F27CC9">
            <w:pPr>
              <w:widowControl w:val="0"/>
              <w:spacing w:after="0" w:line="240" w:lineRule="auto"/>
              <w:rPr>
                <w:rFonts w:ascii="Arial" w:eastAsia="Arial" w:hAnsi="Arial" w:cs="Arial"/>
                <w:b/>
                <w:sz w:val="20"/>
                <w:szCs w:val="20"/>
              </w:rPr>
            </w:pPr>
          </w:p>
        </w:tc>
        <w:tc>
          <w:tcPr>
            <w:tcW w:w="610" w:type="dxa"/>
            <w:shd w:val="clear" w:color="auto" w:fill="D9EAD3"/>
            <w:tcMar>
              <w:top w:w="100" w:type="dxa"/>
              <w:left w:w="100" w:type="dxa"/>
              <w:bottom w:w="100" w:type="dxa"/>
              <w:right w:w="100" w:type="dxa"/>
            </w:tcMar>
          </w:tcPr>
          <w:p w14:paraId="77499767"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AQE6</w:t>
            </w:r>
          </w:p>
        </w:tc>
        <w:tc>
          <w:tcPr>
            <w:tcW w:w="1400" w:type="dxa"/>
            <w:shd w:val="clear" w:color="auto" w:fill="auto"/>
          </w:tcPr>
          <w:p w14:paraId="5D424A18" w14:textId="77777777" w:rsidR="00F27CC9" w:rsidRDefault="00F27CC9">
            <w:pPr>
              <w:widowControl w:val="0"/>
              <w:spacing w:after="0" w:line="240" w:lineRule="auto"/>
              <w:rPr>
                <w:rFonts w:ascii="Arial" w:eastAsia="Arial" w:hAnsi="Arial" w:cs="Arial"/>
                <w:sz w:val="20"/>
                <w:szCs w:val="20"/>
              </w:rPr>
            </w:pPr>
          </w:p>
        </w:tc>
      </w:tr>
      <w:tr w:rsidR="00F27CC9" w14:paraId="23B43854" w14:textId="77777777">
        <w:tc>
          <w:tcPr>
            <w:tcW w:w="1095" w:type="dxa"/>
            <w:shd w:val="clear" w:color="auto" w:fill="D9EAD3"/>
            <w:tcMar>
              <w:top w:w="100" w:type="dxa"/>
              <w:left w:w="100" w:type="dxa"/>
              <w:bottom w:w="100" w:type="dxa"/>
              <w:right w:w="100" w:type="dxa"/>
            </w:tcMar>
          </w:tcPr>
          <w:p w14:paraId="43ACA17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 xml:space="preserve">Y3 </w:t>
            </w:r>
          </w:p>
          <w:p w14:paraId="50BBB749"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4C734FE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AQE7</w:t>
            </w:r>
          </w:p>
        </w:tc>
        <w:tc>
          <w:tcPr>
            <w:tcW w:w="1324" w:type="dxa"/>
            <w:tcMar>
              <w:top w:w="100" w:type="dxa"/>
              <w:left w:w="100" w:type="dxa"/>
              <w:bottom w:w="100" w:type="dxa"/>
              <w:right w:w="100" w:type="dxa"/>
            </w:tcMar>
          </w:tcPr>
          <w:p w14:paraId="7ECDF9DB" w14:textId="77777777" w:rsidR="00F27CC9" w:rsidRDefault="00F27CC9">
            <w:pPr>
              <w:widowControl w:val="0"/>
              <w:spacing w:after="0" w:line="240" w:lineRule="auto"/>
              <w:rPr>
                <w:rFonts w:ascii="Arial" w:eastAsia="Arial" w:hAnsi="Arial" w:cs="Arial"/>
                <w:sz w:val="20"/>
                <w:szCs w:val="20"/>
              </w:rPr>
            </w:pPr>
          </w:p>
        </w:tc>
        <w:tc>
          <w:tcPr>
            <w:tcW w:w="661" w:type="dxa"/>
            <w:shd w:val="clear" w:color="auto" w:fill="D9EAD3"/>
            <w:tcMar>
              <w:top w:w="100" w:type="dxa"/>
              <w:left w:w="100" w:type="dxa"/>
              <w:bottom w:w="100" w:type="dxa"/>
              <w:right w:w="100" w:type="dxa"/>
            </w:tcMar>
          </w:tcPr>
          <w:p w14:paraId="3EF740B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2E79A323"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E8</w:t>
            </w:r>
          </w:p>
        </w:tc>
        <w:tc>
          <w:tcPr>
            <w:tcW w:w="1349" w:type="dxa"/>
            <w:tcMar>
              <w:top w:w="100" w:type="dxa"/>
              <w:left w:w="100" w:type="dxa"/>
              <w:bottom w:w="100" w:type="dxa"/>
              <w:right w:w="100" w:type="dxa"/>
            </w:tcMar>
          </w:tcPr>
          <w:p w14:paraId="0B745195" w14:textId="77777777" w:rsidR="00F27CC9" w:rsidRDefault="00F27CC9">
            <w:pPr>
              <w:widowControl w:val="0"/>
              <w:spacing w:after="0" w:line="240" w:lineRule="auto"/>
              <w:rPr>
                <w:rFonts w:ascii="Arial" w:eastAsia="Arial" w:hAnsi="Arial" w:cs="Arial"/>
                <w:sz w:val="20"/>
                <w:szCs w:val="20"/>
              </w:rPr>
            </w:pPr>
          </w:p>
        </w:tc>
        <w:tc>
          <w:tcPr>
            <w:tcW w:w="635" w:type="dxa"/>
            <w:shd w:val="clear" w:color="auto" w:fill="D9EAD3"/>
            <w:tcMar>
              <w:top w:w="100" w:type="dxa"/>
              <w:left w:w="100" w:type="dxa"/>
              <w:bottom w:w="100" w:type="dxa"/>
              <w:right w:w="100" w:type="dxa"/>
            </w:tcMar>
          </w:tcPr>
          <w:p w14:paraId="086A68C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7542046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E9</w:t>
            </w:r>
          </w:p>
        </w:tc>
        <w:tc>
          <w:tcPr>
            <w:tcW w:w="1375" w:type="dxa"/>
            <w:tcMar>
              <w:top w:w="100" w:type="dxa"/>
              <w:left w:w="100" w:type="dxa"/>
              <w:bottom w:w="100" w:type="dxa"/>
              <w:right w:w="100" w:type="dxa"/>
            </w:tcMar>
          </w:tcPr>
          <w:p w14:paraId="00B02EDA" w14:textId="77777777" w:rsidR="00F27CC9" w:rsidRDefault="00F27CC9">
            <w:pPr>
              <w:widowControl w:val="0"/>
              <w:spacing w:after="0" w:line="240" w:lineRule="auto"/>
              <w:rPr>
                <w:rFonts w:ascii="Arial" w:eastAsia="Arial" w:hAnsi="Arial" w:cs="Arial"/>
                <w:sz w:val="20"/>
                <w:szCs w:val="20"/>
              </w:rPr>
            </w:pPr>
          </w:p>
        </w:tc>
        <w:tc>
          <w:tcPr>
            <w:tcW w:w="610" w:type="dxa"/>
            <w:shd w:val="clear" w:color="auto" w:fill="D9EAD3"/>
            <w:tcMar>
              <w:top w:w="100" w:type="dxa"/>
              <w:left w:w="100" w:type="dxa"/>
              <w:bottom w:w="100" w:type="dxa"/>
              <w:right w:w="100" w:type="dxa"/>
            </w:tcMar>
          </w:tcPr>
          <w:p w14:paraId="02021AA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25C5D1D0"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E10</w:t>
            </w:r>
          </w:p>
        </w:tc>
        <w:tc>
          <w:tcPr>
            <w:tcW w:w="1400" w:type="dxa"/>
            <w:tcMar>
              <w:top w:w="100" w:type="dxa"/>
              <w:left w:w="100" w:type="dxa"/>
              <w:bottom w:w="100" w:type="dxa"/>
              <w:right w:w="100" w:type="dxa"/>
            </w:tcMar>
          </w:tcPr>
          <w:p w14:paraId="310EE6AD" w14:textId="77777777" w:rsidR="00F27CC9" w:rsidRDefault="00F27CC9">
            <w:pPr>
              <w:widowControl w:val="0"/>
              <w:spacing w:after="0" w:line="240" w:lineRule="auto"/>
              <w:rPr>
                <w:rFonts w:ascii="Arial" w:eastAsia="Arial" w:hAnsi="Arial" w:cs="Arial"/>
                <w:sz w:val="20"/>
                <w:szCs w:val="20"/>
              </w:rPr>
            </w:pPr>
          </w:p>
        </w:tc>
      </w:tr>
      <w:tr w:rsidR="00F27CC9" w14:paraId="0D99495A" w14:textId="77777777">
        <w:tc>
          <w:tcPr>
            <w:tcW w:w="1095" w:type="dxa"/>
            <w:shd w:val="clear" w:color="auto" w:fill="D9EAD3"/>
            <w:tcMar>
              <w:top w:w="100" w:type="dxa"/>
              <w:left w:w="100" w:type="dxa"/>
              <w:bottom w:w="100" w:type="dxa"/>
              <w:right w:w="100" w:type="dxa"/>
            </w:tcMar>
          </w:tcPr>
          <w:p w14:paraId="53E1B68F"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Y4</w:t>
            </w:r>
          </w:p>
          <w:p w14:paraId="15256B73" w14:textId="77777777" w:rsidR="00F27CC9" w:rsidRDefault="00F27CC9">
            <w:pPr>
              <w:widowControl w:val="0"/>
              <w:spacing w:after="0" w:line="240" w:lineRule="auto"/>
              <w:rPr>
                <w:rFonts w:ascii="Arial" w:eastAsia="Arial" w:hAnsi="Arial" w:cs="Arial"/>
                <w:b/>
                <w:sz w:val="20"/>
                <w:szCs w:val="20"/>
              </w:rPr>
            </w:pPr>
          </w:p>
        </w:tc>
        <w:tc>
          <w:tcPr>
            <w:tcW w:w="596" w:type="dxa"/>
            <w:shd w:val="clear" w:color="auto" w:fill="D9EAD3"/>
            <w:tcMar>
              <w:top w:w="100" w:type="dxa"/>
              <w:left w:w="100" w:type="dxa"/>
              <w:bottom w:w="100" w:type="dxa"/>
              <w:right w:w="100" w:type="dxa"/>
            </w:tcMar>
          </w:tcPr>
          <w:p w14:paraId="5797CE54"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AQE11</w:t>
            </w:r>
          </w:p>
        </w:tc>
        <w:tc>
          <w:tcPr>
            <w:tcW w:w="1324" w:type="dxa"/>
            <w:tcMar>
              <w:top w:w="100" w:type="dxa"/>
              <w:left w:w="100" w:type="dxa"/>
              <w:bottom w:w="100" w:type="dxa"/>
              <w:right w:w="100" w:type="dxa"/>
            </w:tcMar>
          </w:tcPr>
          <w:p w14:paraId="75D34527" w14:textId="77777777" w:rsidR="00F27CC9" w:rsidRDefault="00F27CC9">
            <w:pPr>
              <w:widowControl w:val="0"/>
              <w:spacing w:after="0" w:line="240" w:lineRule="auto"/>
              <w:rPr>
                <w:rFonts w:ascii="Arial" w:eastAsia="Arial" w:hAnsi="Arial" w:cs="Arial"/>
                <w:sz w:val="20"/>
                <w:szCs w:val="20"/>
              </w:rPr>
            </w:pPr>
          </w:p>
        </w:tc>
        <w:tc>
          <w:tcPr>
            <w:tcW w:w="661" w:type="dxa"/>
            <w:shd w:val="clear" w:color="auto" w:fill="D9EAD3"/>
            <w:tcMar>
              <w:top w:w="100" w:type="dxa"/>
              <w:left w:w="100" w:type="dxa"/>
              <w:bottom w:w="100" w:type="dxa"/>
              <w:right w:w="100" w:type="dxa"/>
            </w:tcMar>
          </w:tcPr>
          <w:p w14:paraId="4510E4CD"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34265B39"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E12</w:t>
            </w:r>
          </w:p>
        </w:tc>
        <w:tc>
          <w:tcPr>
            <w:tcW w:w="1349" w:type="dxa"/>
            <w:tcMar>
              <w:top w:w="100" w:type="dxa"/>
              <w:left w:w="100" w:type="dxa"/>
              <w:bottom w:w="100" w:type="dxa"/>
              <w:right w:w="100" w:type="dxa"/>
            </w:tcMar>
          </w:tcPr>
          <w:p w14:paraId="3E866FE0" w14:textId="77777777" w:rsidR="00F27CC9" w:rsidRDefault="00F27CC9">
            <w:pPr>
              <w:widowControl w:val="0"/>
              <w:spacing w:after="0" w:line="240" w:lineRule="auto"/>
              <w:rPr>
                <w:rFonts w:ascii="Arial" w:eastAsia="Arial" w:hAnsi="Arial" w:cs="Arial"/>
                <w:sz w:val="20"/>
                <w:szCs w:val="20"/>
              </w:rPr>
            </w:pPr>
          </w:p>
        </w:tc>
        <w:tc>
          <w:tcPr>
            <w:tcW w:w="635" w:type="dxa"/>
            <w:shd w:val="clear" w:color="auto" w:fill="D9EAD3"/>
            <w:tcMar>
              <w:top w:w="100" w:type="dxa"/>
              <w:left w:w="100" w:type="dxa"/>
              <w:bottom w:w="100" w:type="dxa"/>
              <w:right w:w="100" w:type="dxa"/>
            </w:tcMar>
          </w:tcPr>
          <w:p w14:paraId="467EB9DE"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w:t>
            </w:r>
          </w:p>
          <w:p w14:paraId="06AD5D28"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E13</w:t>
            </w:r>
          </w:p>
        </w:tc>
        <w:tc>
          <w:tcPr>
            <w:tcW w:w="1375" w:type="dxa"/>
            <w:tcMar>
              <w:top w:w="100" w:type="dxa"/>
              <w:left w:w="100" w:type="dxa"/>
              <w:bottom w:w="100" w:type="dxa"/>
              <w:right w:w="100" w:type="dxa"/>
            </w:tcMar>
          </w:tcPr>
          <w:p w14:paraId="43DB8366" w14:textId="77777777" w:rsidR="00F27CC9" w:rsidRDefault="00F27CC9">
            <w:pPr>
              <w:widowControl w:val="0"/>
              <w:spacing w:after="0" w:line="240" w:lineRule="auto"/>
              <w:rPr>
                <w:rFonts w:ascii="Arial" w:eastAsia="Arial" w:hAnsi="Arial" w:cs="Arial"/>
                <w:sz w:val="20"/>
                <w:szCs w:val="20"/>
              </w:rPr>
            </w:pPr>
          </w:p>
        </w:tc>
        <w:tc>
          <w:tcPr>
            <w:tcW w:w="610" w:type="dxa"/>
            <w:shd w:val="clear" w:color="auto" w:fill="D9EAD3"/>
            <w:tcMar>
              <w:top w:w="100" w:type="dxa"/>
              <w:left w:w="100" w:type="dxa"/>
              <w:bottom w:w="100" w:type="dxa"/>
              <w:right w:w="100" w:type="dxa"/>
            </w:tcMar>
          </w:tcPr>
          <w:p w14:paraId="574CBEE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AQE14</w:t>
            </w:r>
          </w:p>
        </w:tc>
        <w:tc>
          <w:tcPr>
            <w:tcW w:w="1400" w:type="dxa"/>
            <w:tcMar>
              <w:top w:w="100" w:type="dxa"/>
              <w:left w:w="100" w:type="dxa"/>
              <w:bottom w:w="100" w:type="dxa"/>
              <w:right w:w="100" w:type="dxa"/>
            </w:tcMar>
          </w:tcPr>
          <w:p w14:paraId="3644EF33" w14:textId="77777777" w:rsidR="00F27CC9" w:rsidRDefault="00F27CC9">
            <w:pPr>
              <w:widowControl w:val="0"/>
              <w:spacing w:after="0" w:line="240" w:lineRule="auto"/>
              <w:rPr>
                <w:rFonts w:ascii="Arial" w:eastAsia="Arial" w:hAnsi="Arial" w:cs="Arial"/>
                <w:sz w:val="20"/>
                <w:szCs w:val="20"/>
              </w:rPr>
            </w:pPr>
          </w:p>
        </w:tc>
      </w:tr>
    </w:tbl>
    <w:p w14:paraId="4C9FC2A8" w14:textId="77777777" w:rsidR="00F27CC9" w:rsidRDefault="00F27CC9">
      <w:pPr>
        <w:spacing w:after="0"/>
        <w:rPr>
          <w:rFonts w:ascii="Arial" w:eastAsia="Arial" w:hAnsi="Arial" w:cs="Arial"/>
          <w:sz w:val="20"/>
          <w:szCs w:val="20"/>
        </w:rPr>
      </w:pPr>
    </w:p>
    <w:p w14:paraId="27FB9361" w14:textId="77777777" w:rsidR="00F27CC9" w:rsidRDefault="00353DB6">
      <w:pPr>
        <w:spacing w:after="0"/>
        <w:rPr>
          <w:rFonts w:ascii="Arial" w:eastAsia="Arial" w:hAnsi="Arial" w:cs="Arial"/>
          <w:b/>
          <w:sz w:val="20"/>
          <w:szCs w:val="20"/>
        </w:rPr>
      </w:pPr>
      <w:r>
        <w:rPr>
          <w:rFonts w:ascii="Arial" w:eastAsia="Arial" w:hAnsi="Arial" w:cs="Arial"/>
          <w:b/>
          <w:sz w:val="20"/>
          <w:szCs w:val="20"/>
        </w:rPr>
        <w:t>Table 8</w:t>
      </w:r>
    </w:p>
    <w:p w14:paraId="7951BCBD" w14:textId="77777777" w:rsidR="00F27CC9" w:rsidRDefault="00F27CC9">
      <w:pPr>
        <w:spacing w:after="0"/>
        <w:rPr>
          <w:rFonts w:ascii="Arial" w:eastAsia="Arial" w:hAnsi="Arial" w:cs="Arial"/>
          <w:sz w:val="20"/>
          <w:szCs w:val="20"/>
        </w:rPr>
      </w:pPr>
    </w:p>
    <w:tbl>
      <w:tblPr>
        <w:tblStyle w:val="a7"/>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585"/>
        <w:gridCol w:w="1860"/>
      </w:tblGrid>
      <w:tr w:rsidR="00F27CC9" w14:paraId="2512957F" w14:textId="77777777">
        <w:trPr>
          <w:trHeight w:val="420"/>
        </w:trPr>
        <w:tc>
          <w:tcPr>
            <w:tcW w:w="7185" w:type="dxa"/>
            <w:gridSpan w:val="2"/>
            <w:shd w:val="clear" w:color="auto" w:fill="CCCCCC"/>
            <w:tcMar>
              <w:top w:w="100" w:type="dxa"/>
              <w:left w:w="100" w:type="dxa"/>
              <w:bottom w:w="100" w:type="dxa"/>
              <w:right w:w="100" w:type="dxa"/>
            </w:tcMar>
          </w:tcPr>
          <w:p w14:paraId="4FC289F5"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Lot 2  Email Relay Services - Service improvement percentage (AQE15 - AQE17)</w:t>
            </w:r>
          </w:p>
          <w:p w14:paraId="75335A09" w14:textId="77777777" w:rsidR="00F27CC9" w:rsidRDefault="00F27CC9">
            <w:pPr>
              <w:widowControl w:val="0"/>
              <w:spacing w:after="0" w:line="240" w:lineRule="auto"/>
              <w:rPr>
                <w:rFonts w:ascii="Arial" w:eastAsia="Arial" w:hAnsi="Arial" w:cs="Arial"/>
                <w:b/>
                <w:sz w:val="20"/>
                <w:szCs w:val="20"/>
              </w:rPr>
            </w:pPr>
          </w:p>
        </w:tc>
        <w:tc>
          <w:tcPr>
            <w:tcW w:w="1860" w:type="dxa"/>
            <w:shd w:val="clear" w:color="auto" w:fill="CCCCCC"/>
            <w:tcMar>
              <w:top w:w="100" w:type="dxa"/>
              <w:left w:w="100" w:type="dxa"/>
              <w:bottom w:w="100" w:type="dxa"/>
              <w:right w:w="100" w:type="dxa"/>
            </w:tcMar>
          </w:tcPr>
          <w:p w14:paraId="4E1209E6"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4EDE39A1" w14:textId="77777777">
        <w:trPr>
          <w:trHeight w:val="400"/>
        </w:trPr>
        <w:tc>
          <w:tcPr>
            <w:tcW w:w="600" w:type="dxa"/>
            <w:shd w:val="clear" w:color="auto" w:fill="D9EAD3"/>
            <w:tcMar>
              <w:top w:w="100" w:type="dxa"/>
              <w:left w:w="100" w:type="dxa"/>
              <w:bottom w:w="100" w:type="dxa"/>
              <w:right w:w="100" w:type="dxa"/>
            </w:tcMar>
          </w:tcPr>
          <w:p w14:paraId="54FDF3EA"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AQE15</w:t>
            </w:r>
          </w:p>
        </w:tc>
        <w:tc>
          <w:tcPr>
            <w:tcW w:w="6585" w:type="dxa"/>
            <w:shd w:val="clear" w:color="auto" w:fill="D9EAD3"/>
            <w:tcMar>
              <w:top w:w="100" w:type="dxa"/>
              <w:left w:w="100" w:type="dxa"/>
              <w:bottom w:w="100" w:type="dxa"/>
              <w:right w:w="100" w:type="dxa"/>
            </w:tcMar>
          </w:tcPr>
          <w:p w14:paraId="2D833C7D" w14:textId="77777777" w:rsidR="00F27CC9" w:rsidRDefault="00353DB6">
            <w:pPr>
              <w:spacing w:after="0"/>
              <w:rPr>
                <w:rFonts w:ascii="Arial" w:eastAsia="Arial" w:hAnsi="Arial" w:cs="Arial"/>
                <w:b/>
                <w:sz w:val="20"/>
                <w:szCs w:val="20"/>
              </w:rPr>
            </w:pPr>
            <w:r>
              <w:rPr>
                <w:rFonts w:ascii="Arial" w:eastAsia="Arial" w:hAnsi="Arial" w:cs="Arial"/>
                <w:b/>
                <w:sz w:val="20"/>
                <w:szCs w:val="20"/>
              </w:rPr>
              <w:t>Y1Y2 Service improvement percentage (0.00%)</w:t>
            </w:r>
          </w:p>
          <w:p w14:paraId="1EB45124"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Y1Y2 annual running price provided in response to AQE3 to AQE6 attributed to the cost of service improvement.</w:t>
            </w:r>
          </w:p>
        </w:tc>
        <w:tc>
          <w:tcPr>
            <w:tcW w:w="1860" w:type="dxa"/>
            <w:shd w:val="clear" w:color="auto" w:fill="auto"/>
            <w:tcMar>
              <w:top w:w="100" w:type="dxa"/>
              <w:left w:w="100" w:type="dxa"/>
              <w:bottom w:w="100" w:type="dxa"/>
              <w:right w:w="100" w:type="dxa"/>
            </w:tcMar>
          </w:tcPr>
          <w:p w14:paraId="0699A1BB" w14:textId="77777777" w:rsidR="00F27CC9" w:rsidRDefault="00F27CC9">
            <w:pPr>
              <w:widowControl w:val="0"/>
              <w:spacing w:after="0" w:line="240" w:lineRule="auto"/>
              <w:rPr>
                <w:rFonts w:ascii="Arial" w:eastAsia="Arial" w:hAnsi="Arial" w:cs="Arial"/>
                <w:sz w:val="20"/>
                <w:szCs w:val="20"/>
              </w:rPr>
            </w:pPr>
          </w:p>
        </w:tc>
      </w:tr>
      <w:tr w:rsidR="00F27CC9" w14:paraId="5E978D0F" w14:textId="77777777">
        <w:trPr>
          <w:trHeight w:val="400"/>
        </w:trPr>
        <w:tc>
          <w:tcPr>
            <w:tcW w:w="600" w:type="dxa"/>
            <w:shd w:val="clear" w:color="auto" w:fill="D9EAD3"/>
            <w:tcMar>
              <w:top w:w="100" w:type="dxa"/>
              <w:left w:w="100" w:type="dxa"/>
              <w:bottom w:w="100" w:type="dxa"/>
              <w:right w:w="100" w:type="dxa"/>
            </w:tcMar>
          </w:tcPr>
          <w:p w14:paraId="3E55C641"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AQE16</w:t>
            </w:r>
          </w:p>
        </w:tc>
        <w:tc>
          <w:tcPr>
            <w:tcW w:w="6585" w:type="dxa"/>
            <w:shd w:val="clear" w:color="auto" w:fill="D9EAD3"/>
            <w:tcMar>
              <w:top w:w="100" w:type="dxa"/>
              <w:left w:w="100" w:type="dxa"/>
              <w:bottom w:w="100" w:type="dxa"/>
              <w:right w:w="100" w:type="dxa"/>
            </w:tcMar>
          </w:tcPr>
          <w:p w14:paraId="7BA3939C" w14:textId="77777777" w:rsidR="00F27CC9" w:rsidRDefault="00353DB6">
            <w:pPr>
              <w:spacing w:after="0"/>
              <w:rPr>
                <w:rFonts w:ascii="Arial" w:eastAsia="Arial" w:hAnsi="Arial" w:cs="Arial"/>
                <w:b/>
                <w:sz w:val="20"/>
                <w:szCs w:val="20"/>
              </w:rPr>
            </w:pPr>
            <w:r>
              <w:rPr>
                <w:rFonts w:ascii="Arial" w:eastAsia="Arial" w:hAnsi="Arial" w:cs="Arial"/>
                <w:b/>
                <w:sz w:val="20"/>
                <w:szCs w:val="20"/>
              </w:rPr>
              <w:t>Y3 Service improvement percentage (0.00%)</w:t>
            </w:r>
          </w:p>
          <w:p w14:paraId="4D62CC5F"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Y3 annual running price provided in response to AQE7 to AQE10 attributed to the cost of service improvement.</w:t>
            </w:r>
          </w:p>
        </w:tc>
        <w:tc>
          <w:tcPr>
            <w:tcW w:w="1860" w:type="dxa"/>
            <w:shd w:val="clear" w:color="auto" w:fill="auto"/>
            <w:tcMar>
              <w:top w:w="100" w:type="dxa"/>
              <w:left w:w="100" w:type="dxa"/>
              <w:bottom w:w="100" w:type="dxa"/>
              <w:right w:w="100" w:type="dxa"/>
            </w:tcMar>
          </w:tcPr>
          <w:p w14:paraId="6247265C" w14:textId="77777777" w:rsidR="00F27CC9" w:rsidRDefault="00F27CC9">
            <w:pPr>
              <w:widowControl w:val="0"/>
              <w:spacing w:after="0" w:line="240" w:lineRule="auto"/>
              <w:rPr>
                <w:rFonts w:ascii="Arial" w:eastAsia="Arial" w:hAnsi="Arial" w:cs="Arial"/>
                <w:sz w:val="20"/>
                <w:szCs w:val="20"/>
              </w:rPr>
            </w:pPr>
          </w:p>
        </w:tc>
      </w:tr>
      <w:tr w:rsidR="00F27CC9" w14:paraId="1179FA53" w14:textId="77777777">
        <w:trPr>
          <w:trHeight w:val="400"/>
        </w:trPr>
        <w:tc>
          <w:tcPr>
            <w:tcW w:w="600" w:type="dxa"/>
            <w:shd w:val="clear" w:color="auto" w:fill="D9EAD3"/>
            <w:tcMar>
              <w:top w:w="100" w:type="dxa"/>
              <w:left w:w="100" w:type="dxa"/>
              <w:bottom w:w="100" w:type="dxa"/>
              <w:right w:w="100" w:type="dxa"/>
            </w:tcMar>
          </w:tcPr>
          <w:p w14:paraId="770B5907"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AQE17</w:t>
            </w:r>
          </w:p>
        </w:tc>
        <w:tc>
          <w:tcPr>
            <w:tcW w:w="6585" w:type="dxa"/>
            <w:shd w:val="clear" w:color="auto" w:fill="D9EAD3"/>
            <w:tcMar>
              <w:top w:w="100" w:type="dxa"/>
              <w:left w:w="100" w:type="dxa"/>
              <w:bottom w:w="100" w:type="dxa"/>
              <w:right w:w="100" w:type="dxa"/>
            </w:tcMar>
          </w:tcPr>
          <w:p w14:paraId="096366EB" w14:textId="77777777" w:rsidR="00F27CC9" w:rsidRDefault="00353DB6">
            <w:pPr>
              <w:spacing w:after="0"/>
              <w:rPr>
                <w:rFonts w:ascii="Arial" w:eastAsia="Arial" w:hAnsi="Arial" w:cs="Arial"/>
                <w:b/>
                <w:sz w:val="20"/>
                <w:szCs w:val="20"/>
              </w:rPr>
            </w:pPr>
            <w:r>
              <w:rPr>
                <w:rFonts w:ascii="Arial" w:eastAsia="Arial" w:hAnsi="Arial" w:cs="Arial"/>
                <w:b/>
                <w:sz w:val="20"/>
                <w:szCs w:val="20"/>
              </w:rPr>
              <w:t>Y4 Service improvement percentage (0.00%)</w:t>
            </w:r>
          </w:p>
          <w:p w14:paraId="45700523" w14:textId="77777777" w:rsidR="00F27CC9" w:rsidRDefault="00353DB6">
            <w:pPr>
              <w:spacing w:after="0"/>
              <w:rPr>
                <w:rFonts w:ascii="Arial" w:eastAsia="Arial" w:hAnsi="Arial" w:cs="Arial"/>
                <w:sz w:val="20"/>
                <w:szCs w:val="20"/>
              </w:rPr>
            </w:pPr>
            <w:r>
              <w:rPr>
                <w:rFonts w:ascii="Arial" w:eastAsia="Arial" w:hAnsi="Arial" w:cs="Arial"/>
                <w:sz w:val="20"/>
                <w:szCs w:val="20"/>
              </w:rPr>
              <w:t>The percentage of the Y4 annual running price provided in response to AQE11 to AQE14 attributed to the cost of service improvement.</w:t>
            </w:r>
          </w:p>
        </w:tc>
        <w:tc>
          <w:tcPr>
            <w:tcW w:w="1860" w:type="dxa"/>
            <w:shd w:val="clear" w:color="auto" w:fill="auto"/>
            <w:tcMar>
              <w:top w:w="100" w:type="dxa"/>
              <w:left w:w="100" w:type="dxa"/>
              <w:bottom w:w="100" w:type="dxa"/>
              <w:right w:w="100" w:type="dxa"/>
            </w:tcMar>
          </w:tcPr>
          <w:p w14:paraId="7581D94B" w14:textId="77777777" w:rsidR="00F27CC9" w:rsidRDefault="00F27CC9">
            <w:pPr>
              <w:widowControl w:val="0"/>
              <w:spacing w:after="0" w:line="240" w:lineRule="auto"/>
              <w:rPr>
                <w:rFonts w:ascii="Arial" w:eastAsia="Arial" w:hAnsi="Arial" w:cs="Arial"/>
                <w:sz w:val="20"/>
                <w:szCs w:val="20"/>
              </w:rPr>
            </w:pPr>
          </w:p>
        </w:tc>
      </w:tr>
    </w:tbl>
    <w:p w14:paraId="0F85012C" w14:textId="77777777" w:rsidR="00F27CC9" w:rsidRDefault="00F27CC9">
      <w:pPr>
        <w:spacing w:after="0"/>
        <w:rPr>
          <w:rFonts w:ascii="Arial" w:eastAsia="Arial" w:hAnsi="Arial" w:cs="Arial"/>
          <w:sz w:val="20"/>
          <w:szCs w:val="20"/>
        </w:rPr>
      </w:pPr>
    </w:p>
    <w:p w14:paraId="7C8A9F3E" w14:textId="77777777" w:rsidR="00F27CC9" w:rsidRDefault="00353DB6">
      <w:pPr>
        <w:spacing w:after="0"/>
        <w:rPr>
          <w:rFonts w:ascii="Arial" w:eastAsia="Arial" w:hAnsi="Arial" w:cs="Arial"/>
          <w:b/>
          <w:sz w:val="20"/>
          <w:szCs w:val="20"/>
        </w:rPr>
      </w:pPr>
      <w:r>
        <w:rPr>
          <w:rFonts w:ascii="Arial" w:eastAsia="Arial" w:hAnsi="Arial" w:cs="Arial"/>
          <w:b/>
          <w:sz w:val="20"/>
          <w:szCs w:val="20"/>
        </w:rPr>
        <w:t>Table 9</w:t>
      </w:r>
    </w:p>
    <w:p w14:paraId="6D0BF872" w14:textId="77777777" w:rsidR="00F27CC9" w:rsidRDefault="00F27CC9">
      <w:pPr>
        <w:spacing w:after="0"/>
        <w:rPr>
          <w:rFonts w:ascii="Arial" w:eastAsia="Arial" w:hAnsi="Arial" w:cs="Arial"/>
          <w:sz w:val="20"/>
          <w:szCs w:val="20"/>
        </w:rPr>
      </w:pPr>
    </w:p>
    <w:tbl>
      <w:tblPr>
        <w:tblStyle w:val="a8"/>
        <w:tblW w:w="9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6585"/>
        <w:gridCol w:w="1860"/>
      </w:tblGrid>
      <w:tr w:rsidR="00F27CC9" w14:paraId="1C1806B9" w14:textId="77777777">
        <w:trPr>
          <w:trHeight w:val="420"/>
        </w:trPr>
        <w:tc>
          <w:tcPr>
            <w:tcW w:w="7185" w:type="dxa"/>
            <w:gridSpan w:val="2"/>
            <w:shd w:val="clear" w:color="auto" w:fill="CCCCCC"/>
            <w:tcMar>
              <w:top w:w="100" w:type="dxa"/>
              <w:left w:w="100" w:type="dxa"/>
              <w:bottom w:w="100" w:type="dxa"/>
              <w:right w:w="100" w:type="dxa"/>
            </w:tcMar>
          </w:tcPr>
          <w:p w14:paraId="7F470F0B" w14:textId="5382508F" w:rsidR="00F27CC9" w:rsidRDefault="00353DB6" w:rsidP="00C541EF">
            <w:pPr>
              <w:widowControl w:val="0"/>
              <w:spacing w:after="0" w:line="240" w:lineRule="auto"/>
              <w:rPr>
                <w:rFonts w:ascii="Arial" w:eastAsia="Arial" w:hAnsi="Arial" w:cs="Arial"/>
                <w:b/>
                <w:sz w:val="20"/>
                <w:szCs w:val="20"/>
              </w:rPr>
            </w:pPr>
            <w:r>
              <w:rPr>
                <w:rFonts w:ascii="Arial" w:eastAsia="Arial" w:hAnsi="Arial" w:cs="Arial"/>
                <w:b/>
                <w:sz w:val="20"/>
                <w:szCs w:val="20"/>
              </w:rPr>
              <w:t xml:space="preserve">Lot 2  Email Relay Services - </w:t>
            </w:r>
            <w:r w:rsidR="00C541EF">
              <w:rPr>
                <w:rFonts w:ascii="Arial" w:eastAsia="Arial" w:hAnsi="Arial" w:cs="Arial"/>
                <w:b/>
                <w:sz w:val="20"/>
                <w:szCs w:val="20"/>
              </w:rPr>
              <w:t xml:space="preserve">Invoice </w:t>
            </w:r>
            <w:r>
              <w:rPr>
                <w:rFonts w:ascii="Arial" w:eastAsia="Arial" w:hAnsi="Arial" w:cs="Arial"/>
                <w:b/>
                <w:sz w:val="20"/>
                <w:szCs w:val="20"/>
              </w:rPr>
              <w:t>price (AQE18)</w:t>
            </w:r>
          </w:p>
          <w:p w14:paraId="64190CE9" w14:textId="77777777" w:rsidR="00F27CC9" w:rsidRDefault="00F27CC9">
            <w:pPr>
              <w:widowControl w:val="0"/>
              <w:spacing w:after="0" w:line="240" w:lineRule="auto"/>
              <w:rPr>
                <w:rFonts w:ascii="Arial" w:eastAsia="Arial" w:hAnsi="Arial" w:cs="Arial"/>
                <w:b/>
                <w:sz w:val="20"/>
                <w:szCs w:val="20"/>
              </w:rPr>
            </w:pPr>
          </w:p>
        </w:tc>
        <w:tc>
          <w:tcPr>
            <w:tcW w:w="1860" w:type="dxa"/>
            <w:shd w:val="clear" w:color="auto" w:fill="CCCCCC"/>
            <w:tcMar>
              <w:top w:w="100" w:type="dxa"/>
              <w:left w:w="100" w:type="dxa"/>
              <w:bottom w:w="100" w:type="dxa"/>
              <w:right w:w="100" w:type="dxa"/>
            </w:tcMar>
          </w:tcPr>
          <w:p w14:paraId="3011207C"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Response</w:t>
            </w:r>
          </w:p>
        </w:tc>
      </w:tr>
      <w:tr w:rsidR="00F27CC9" w14:paraId="784FF45A" w14:textId="77777777">
        <w:trPr>
          <w:trHeight w:val="400"/>
        </w:trPr>
        <w:tc>
          <w:tcPr>
            <w:tcW w:w="600" w:type="dxa"/>
            <w:shd w:val="clear" w:color="auto" w:fill="D9EAD3"/>
            <w:tcMar>
              <w:top w:w="100" w:type="dxa"/>
              <w:left w:w="100" w:type="dxa"/>
              <w:bottom w:w="100" w:type="dxa"/>
              <w:right w:w="100" w:type="dxa"/>
            </w:tcMar>
          </w:tcPr>
          <w:p w14:paraId="60C69A3B" w14:textId="77777777" w:rsidR="00F27CC9" w:rsidRDefault="00353DB6">
            <w:pPr>
              <w:widowControl w:val="0"/>
              <w:spacing w:after="0" w:line="240" w:lineRule="auto"/>
              <w:rPr>
                <w:rFonts w:ascii="Arial" w:eastAsia="Arial" w:hAnsi="Arial" w:cs="Arial"/>
                <w:b/>
                <w:sz w:val="20"/>
                <w:szCs w:val="20"/>
              </w:rPr>
            </w:pPr>
            <w:r>
              <w:rPr>
                <w:rFonts w:ascii="Arial" w:eastAsia="Arial" w:hAnsi="Arial" w:cs="Arial"/>
                <w:b/>
                <w:sz w:val="20"/>
                <w:szCs w:val="20"/>
              </w:rPr>
              <w:t>AQE18</w:t>
            </w:r>
          </w:p>
        </w:tc>
        <w:tc>
          <w:tcPr>
            <w:tcW w:w="6585" w:type="dxa"/>
            <w:shd w:val="clear" w:color="auto" w:fill="D9EAD3"/>
            <w:tcMar>
              <w:top w:w="100" w:type="dxa"/>
              <w:left w:w="100" w:type="dxa"/>
              <w:bottom w:w="100" w:type="dxa"/>
              <w:right w:w="100" w:type="dxa"/>
            </w:tcMar>
          </w:tcPr>
          <w:p w14:paraId="3E17BE06" w14:textId="77777777" w:rsidR="00F27CC9" w:rsidRDefault="00353DB6">
            <w:pPr>
              <w:spacing w:after="0"/>
              <w:rPr>
                <w:rFonts w:ascii="Arial" w:eastAsia="Arial" w:hAnsi="Arial" w:cs="Arial"/>
                <w:b/>
                <w:sz w:val="20"/>
                <w:szCs w:val="20"/>
              </w:rPr>
            </w:pPr>
            <w:r>
              <w:rPr>
                <w:rFonts w:ascii="Arial" w:eastAsia="Arial" w:hAnsi="Arial" w:cs="Arial"/>
                <w:b/>
                <w:sz w:val="20"/>
                <w:szCs w:val="20"/>
              </w:rPr>
              <w:t>Individual quarterly invoice to each Buyer (£0.00 per user per invoice)</w:t>
            </w:r>
          </w:p>
          <w:p w14:paraId="2FE1B7EF" w14:textId="77777777" w:rsidR="00F27CC9" w:rsidRDefault="00353DB6">
            <w:pPr>
              <w:spacing w:after="0"/>
              <w:rPr>
                <w:rFonts w:ascii="Arial" w:eastAsia="Arial" w:hAnsi="Arial" w:cs="Arial"/>
                <w:sz w:val="20"/>
                <w:szCs w:val="20"/>
              </w:rPr>
            </w:pPr>
            <w:r>
              <w:rPr>
                <w:rFonts w:ascii="Arial" w:eastAsia="Arial" w:hAnsi="Arial" w:cs="Arial"/>
                <w:sz w:val="20"/>
                <w:szCs w:val="20"/>
              </w:rPr>
              <w:t>The  price per Buyer per quarterly invoice, in arrears, commencing Y1</w:t>
            </w:r>
          </w:p>
        </w:tc>
        <w:tc>
          <w:tcPr>
            <w:tcW w:w="1860" w:type="dxa"/>
            <w:shd w:val="clear" w:color="auto" w:fill="auto"/>
            <w:tcMar>
              <w:top w:w="100" w:type="dxa"/>
              <w:left w:w="100" w:type="dxa"/>
              <w:bottom w:w="100" w:type="dxa"/>
              <w:right w:w="100" w:type="dxa"/>
            </w:tcMar>
          </w:tcPr>
          <w:p w14:paraId="015A17CE" w14:textId="77777777" w:rsidR="00F27CC9" w:rsidRDefault="00F27CC9">
            <w:pPr>
              <w:widowControl w:val="0"/>
              <w:spacing w:after="0" w:line="240" w:lineRule="auto"/>
              <w:rPr>
                <w:rFonts w:ascii="Arial" w:eastAsia="Arial" w:hAnsi="Arial" w:cs="Arial"/>
                <w:sz w:val="20"/>
                <w:szCs w:val="20"/>
              </w:rPr>
            </w:pPr>
          </w:p>
        </w:tc>
      </w:tr>
    </w:tbl>
    <w:p w14:paraId="2E5E1B95" w14:textId="77777777" w:rsidR="00F27CC9" w:rsidRDefault="00F27CC9">
      <w:pPr>
        <w:spacing w:after="0"/>
        <w:rPr>
          <w:rFonts w:ascii="Arial" w:eastAsia="Arial" w:hAnsi="Arial" w:cs="Arial"/>
          <w:sz w:val="20"/>
          <w:szCs w:val="20"/>
        </w:rPr>
      </w:pPr>
    </w:p>
    <w:p w14:paraId="6B54DDF2" w14:textId="77777777" w:rsidR="00F27CC9" w:rsidRDefault="00F27CC9">
      <w:pPr>
        <w:spacing w:after="0"/>
        <w:rPr>
          <w:rFonts w:ascii="Arial" w:eastAsia="Arial" w:hAnsi="Arial" w:cs="Arial"/>
        </w:rPr>
      </w:pPr>
    </w:p>
    <w:p w14:paraId="31D37D4F" w14:textId="77777777" w:rsidR="00F27CC9" w:rsidRDefault="00F27CC9">
      <w:pPr>
        <w:rPr>
          <w:rFonts w:ascii="Arial" w:eastAsia="Arial" w:hAnsi="Arial" w:cs="Arial"/>
          <w:sz w:val="24"/>
          <w:szCs w:val="24"/>
        </w:rPr>
      </w:pPr>
    </w:p>
    <w:sectPr w:rsidR="00F27CC9">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D8FE8" w14:textId="77777777" w:rsidR="0077589C" w:rsidRDefault="0077589C">
      <w:pPr>
        <w:spacing w:after="0" w:line="240" w:lineRule="auto"/>
      </w:pPr>
      <w:r>
        <w:separator/>
      </w:r>
    </w:p>
  </w:endnote>
  <w:endnote w:type="continuationSeparator" w:id="0">
    <w:p w14:paraId="09B41354" w14:textId="77777777" w:rsidR="0077589C" w:rsidRDefault="00775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7E2BC" w14:textId="77777777" w:rsidR="003F2620" w:rsidRDefault="003F26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3F2620">
      <w:rPr>
        <w:rFonts w:ascii="Arial" w:eastAsia="Arial" w:hAnsi="Arial" w:cs="Arial"/>
        <w:color w:val="000000"/>
        <w:sz w:val="20"/>
        <w:szCs w:val="20"/>
      </w:rPr>
      <w:t xml:space="preserve">Framework </w:t>
    </w:r>
    <w:r>
      <w:rPr>
        <w:rFonts w:ascii="Arial" w:eastAsia="Arial" w:hAnsi="Arial" w:cs="Arial"/>
        <w:color w:val="000000"/>
        <w:sz w:val="20"/>
        <w:szCs w:val="20"/>
      </w:rPr>
      <w:t>Ref: RM6167</w:t>
    </w:r>
  </w:p>
  <w:p w14:paraId="3996BB14" w14:textId="45982172"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6693BD9D" w14:textId="5E1446E0"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F262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CDE1796" w14:textId="77777777" w:rsidR="00F27CC9" w:rsidRDefault="00353DB6">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56D41" w14:textId="77777777" w:rsidR="00F27CC9" w:rsidRDefault="00353DB6">
    <w:pPr>
      <w:tabs>
        <w:tab w:val="center" w:pos="4513"/>
        <w:tab w:val="right" w:pos="9026"/>
      </w:tabs>
      <w:spacing w:after="0"/>
    </w:pPr>
    <w:r>
      <w:t>Framework Ref: RM</w:t>
    </w:r>
    <w:r>
      <w:tab/>
      <w:t xml:space="preserve">                                           </w:t>
    </w:r>
  </w:p>
  <w:p w14:paraId="32BD5B63"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567B9B6" w14:textId="77777777" w:rsidR="00F27CC9" w:rsidRDefault="00353DB6">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AD9D" w14:textId="77777777" w:rsidR="0077589C" w:rsidRDefault="0077589C">
      <w:pPr>
        <w:spacing w:after="0" w:line="240" w:lineRule="auto"/>
      </w:pPr>
      <w:r>
        <w:separator/>
      </w:r>
    </w:p>
  </w:footnote>
  <w:footnote w:type="continuationSeparator" w:id="0">
    <w:p w14:paraId="388DB368" w14:textId="77777777" w:rsidR="0077589C" w:rsidRDefault="00775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86560"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 &amp; Charges)</w:t>
    </w:r>
  </w:p>
  <w:p w14:paraId="03B5F596"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A5FBE"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4D67C215" w14:textId="77777777" w:rsidR="00F27CC9" w:rsidRDefault="00353DB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3718"/>
    <w:multiLevelType w:val="multilevel"/>
    <w:tmpl w:val="EEA6F97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2345"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2914866"/>
    <w:multiLevelType w:val="multilevel"/>
    <w:tmpl w:val="90244D42"/>
    <w:lvl w:ilvl="0">
      <w:start w:val="1"/>
      <w:numFmt w:val="decimal"/>
      <w:lvlText w:val="%1."/>
      <w:lvlJc w:val="left"/>
      <w:pPr>
        <w:ind w:left="720" w:hanging="360"/>
      </w:pPr>
      <w:rPr>
        <w:b/>
        <w:i w:val="0"/>
        <w:smallCaps w:val="0"/>
        <w:strike w:val="0"/>
        <w:u w:val="none"/>
        <w:vertAlign w:val="baseline"/>
      </w:rPr>
    </w:lvl>
    <w:lvl w:ilvl="1">
      <w:start w:val="1"/>
      <w:numFmt w:val="decimal"/>
      <w:lvlText w:val="%1.%2"/>
      <w:lvlJc w:val="left"/>
      <w:pPr>
        <w:ind w:left="1353" w:hanging="359"/>
      </w:pPr>
      <w:rPr>
        <w:b w:val="0"/>
        <w:sz w:val="24"/>
        <w:szCs w:val="24"/>
      </w:rPr>
    </w:lvl>
    <w:lvl w:ilvl="2">
      <w:start w:val="1"/>
      <w:numFmt w:val="decimal"/>
      <w:lvlText w:val="%1.%2.%3"/>
      <w:lvlJc w:val="left"/>
      <w:pPr>
        <w:ind w:left="2564" w:hanging="720"/>
      </w:pPr>
      <w:rPr>
        <w:b w:val="0"/>
      </w:rPr>
    </w:lvl>
    <w:lvl w:ilvl="3">
      <w:start w:val="1"/>
      <w:numFmt w:val="decimal"/>
      <w:lvlText w:val="%1.%2.%3.%4"/>
      <w:lvlJc w:val="left"/>
      <w:pPr>
        <w:ind w:left="1440" w:hanging="1080"/>
      </w:pPr>
      <w:rPr>
        <w:b w:val="0"/>
      </w:rPr>
    </w:lvl>
    <w:lvl w:ilvl="4">
      <w:start w:val="1"/>
      <w:numFmt w:val="decimal"/>
      <w:lvlText w:val="%1.%2.%3.%4.%5"/>
      <w:lvlJc w:val="left"/>
      <w:pPr>
        <w:ind w:left="1440" w:hanging="1080"/>
      </w:pPr>
      <w:rPr>
        <w:b w:val="0"/>
      </w:rPr>
    </w:lvl>
    <w:lvl w:ilvl="5">
      <w:start w:val="1"/>
      <w:numFmt w:val="decimal"/>
      <w:lvlText w:val="%1.%2.%3.%4.%5.%6"/>
      <w:lvlJc w:val="left"/>
      <w:pPr>
        <w:ind w:left="1800" w:hanging="1440"/>
      </w:pPr>
      <w:rPr>
        <w:b w:val="0"/>
      </w:rPr>
    </w:lvl>
    <w:lvl w:ilvl="6">
      <w:start w:val="1"/>
      <w:numFmt w:val="decimal"/>
      <w:lvlText w:val="%1.%2.%3.%4.%5.%6.%7"/>
      <w:lvlJc w:val="left"/>
      <w:pPr>
        <w:ind w:left="1800" w:hanging="1440"/>
      </w:pPr>
      <w:rPr>
        <w:b w:val="0"/>
      </w:rPr>
    </w:lvl>
    <w:lvl w:ilvl="7">
      <w:start w:val="1"/>
      <w:numFmt w:val="decimal"/>
      <w:lvlText w:val="%1.%2.%3.%4.%5.%6.%7.%8"/>
      <w:lvlJc w:val="left"/>
      <w:pPr>
        <w:ind w:left="2160" w:hanging="1800"/>
      </w:pPr>
      <w:rPr>
        <w:b w:val="0"/>
      </w:rPr>
    </w:lvl>
    <w:lvl w:ilvl="8">
      <w:start w:val="1"/>
      <w:numFmt w:val="decimal"/>
      <w:lvlText w:val="%1.%2.%3.%4.%5.%6.%7.%8.%9"/>
      <w:lvlJc w:val="left"/>
      <w:pPr>
        <w:ind w:left="2160" w:hanging="1800"/>
      </w:pPr>
      <w:rPr>
        <w:b w:val="0"/>
      </w:rPr>
    </w:lvl>
  </w:abstractNum>
  <w:abstractNum w:abstractNumId="2" w15:restartNumberingAfterBreak="0">
    <w:nsid w:val="285F7D60"/>
    <w:multiLevelType w:val="multilevel"/>
    <w:tmpl w:val="4E24123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2345"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87966CC"/>
    <w:multiLevelType w:val="multilevel"/>
    <w:tmpl w:val="754E8E9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2345"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9876D6D"/>
    <w:multiLevelType w:val="hybridMultilevel"/>
    <w:tmpl w:val="7DCEDF26"/>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 w15:restartNumberingAfterBreak="0">
    <w:nsid w:val="6B0B470E"/>
    <w:multiLevelType w:val="hybridMultilevel"/>
    <w:tmpl w:val="7DCEDF26"/>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CC9"/>
    <w:rsid w:val="0003183C"/>
    <w:rsid w:val="000627D2"/>
    <w:rsid w:val="00197AF0"/>
    <w:rsid w:val="002A0DC2"/>
    <w:rsid w:val="002E055F"/>
    <w:rsid w:val="00353DB6"/>
    <w:rsid w:val="003755D5"/>
    <w:rsid w:val="003F2620"/>
    <w:rsid w:val="00444ADC"/>
    <w:rsid w:val="004C4B54"/>
    <w:rsid w:val="004C4B9D"/>
    <w:rsid w:val="00501889"/>
    <w:rsid w:val="00505A2C"/>
    <w:rsid w:val="00523CAF"/>
    <w:rsid w:val="00536E37"/>
    <w:rsid w:val="005424B0"/>
    <w:rsid w:val="00556F64"/>
    <w:rsid w:val="00560C61"/>
    <w:rsid w:val="005B6A6C"/>
    <w:rsid w:val="005C512F"/>
    <w:rsid w:val="00655DC3"/>
    <w:rsid w:val="0066772D"/>
    <w:rsid w:val="006F38ED"/>
    <w:rsid w:val="007151AB"/>
    <w:rsid w:val="00733A23"/>
    <w:rsid w:val="0077589C"/>
    <w:rsid w:val="007E149B"/>
    <w:rsid w:val="00803385"/>
    <w:rsid w:val="00832A5E"/>
    <w:rsid w:val="008B75F8"/>
    <w:rsid w:val="00905D8D"/>
    <w:rsid w:val="00925F42"/>
    <w:rsid w:val="0098140B"/>
    <w:rsid w:val="00984356"/>
    <w:rsid w:val="009978E6"/>
    <w:rsid w:val="009A07FB"/>
    <w:rsid w:val="009B6F1C"/>
    <w:rsid w:val="00A444EC"/>
    <w:rsid w:val="00A846FE"/>
    <w:rsid w:val="00AD2D77"/>
    <w:rsid w:val="00B814C2"/>
    <w:rsid w:val="00B95F9E"/>
    <w:rsid w:val="00C31302"/>
    <w:rsid w:val="00C541EF"/>
    <w:rsid w:val="00C6011A"/>
    <w:rsid w:val="00CF37BE"/>
    <w:rsid w:val="00D51B75"/>
    <w:rsid w:val="00EA0A4C"/>
    <w:rsid w:val="00F27CC9"/>
    <w:rsid w:val="00F571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2C1C9"/>
  <w15:docId w15:val="{897BFC4E-D71E-492C-B380-D6C86D91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3755D5"/>
    <w:pPr>
      <w:ind w:left="720"/>
      <w:contextualSpacing/>
    </w:pPr>
  </w:style>
  <w:style w:type="paragraph" w:styleId="BalloonText">
    <w:name w:val="Balloon Text"/>
    <w:basedOn w:val="Normal"/>
    <w:link w:val="BalloonTextChar"/>
    <w:uiPriority w:val="99"/>
    <w:semiHidden/>
    <w:unhideWhenUsed/>
    <w:rsid w:val="00444A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4A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4ADC"/>
    <w:rPr>
      <w:b/>
      <w:bCs/>
    </w:rPr>
  </w:style>
  <w:style w:type="character" w:customStyle="1" w:styleId="CommentSubjectChar">
    <w:name w:val="Comment Subject Char"/>
    <w:basedOn w:val="CommentTextChar"/>
    <w:link w:val="CommentSubject"/>
    <w:uiPriority w:val="99"/>
    <w:semiHidden/>
    <w:rsid w:val="00444ADC"/>
    <w:rPr>
      <w:b/>
      <w:bCs/>
      <w:sz w:val="20"/>
      <w:szCs w:val="20"/>
    </w:rPr>
  </w:style>
  <w:style w:type="paragraph" w:styleId="Header">
    <w:name w:val="header"/>
    <w:basedOn w:val="Normal"/>
    <w:link w:val="HeaderChar"/>
    <w:uiPriority w:val="99"/>
    <w:unhideWhenUsed/>
    <w:rsid w:val="003F26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2620"/>
  </w:style>
  <w:style w:type="paragraph" w:styleId="Footer">
    <w:name w:val="footer"/>
    <w:basedOn w:val="Normal"/>
    <w:link w:val="FooterChar"/>
    <w:uiPriority w:val="99"/>
    <w:unhideWhenUsed/>
    <w:rsid w:val="003F26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2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Thurston</dc:creator>
  <cp:lastModifiedBy>Richard Attwood</cp:lastModifiedBy>
  <cp:revision>4</cp:revision>
  <cp:lastPrinted>2020-02-03T13:47:00Z</cp:lastPrinted>
  <dcterms:created xsi:type="dcterms:W3CDTF">2020-02-07T15:36:00Z</dcterms:created>
  <dcterms:modified xsi:type="dcterms:W3CDTF">2020-02-11T08:58:00Z</dcterms:modified>
</cp:coreProperties>
</file>